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4DD6C0">
      <w:pPr>
        <w:pStyle w:val="11"/>
        <w:spacing w:line="480" w:lineRule="auto"/>
        <w:ind w:left="0"/>
        <w:jc w:val="center"/>
        <w:rPr>
          <w:rFonts w:hint="eastAsia" w:ascii="仿宋" w:hAnsi="仿宋" w:eastAsia="仿宋" w:cs="仿宋"/>
          <w:color w:val="auto"/>
          <w:sz w:val="15"/>
          <w:szCs w:val="15"/>
          <w:highlight w:val="none"/>
        </w:rPr>
      </w:pPr>
    </w:p>
    <w:p w14:paraId="236251B8">
      <w:pPr>
        <w:pStyle w:val="4"/>
        <w:keepNext w:val="0"/>
        <w:keepLines w:val="0"/>
        <w:widowControl/>
        <w:suppressLineNumbers w:val="0"/>
        <w:spacing w:before="0" w:beforeAutospacing="0" w:after="0" w:afterAutospacing="0" w:line="192" w:lineRule="atLeast"/>
        <w:ind w:left="0" w:right="0"/>
        <w:jc w:val="center"/>
        <w:rPr>
          <w:rFonts w:hint="eastAsia" w:ascii="仿宋" w:hAnsi="仿宋" w:eastAsia="仿宋" w:cs="仿宋"/>
          <w:b w:val="0"/>
          <w:color w:val="auto"/>
          <w:kern w:val="2"/>
          <w:sz w:val="36"/>
          <w:szCs w:val="36"/>
          <w:highlight w:val="none"/>
          <w:lang w:val="en-US" w:eastAsia="zh-CN" w:bidi="ar-SA"/>
        </w:rPr>
      </w:pPr>
    </w:p>
    <w:p w14:paraId="2AE99350">
      <w:pPr>
        <w:adjustRightInd w:val="0"/>
        <w:jc w:val="center"/>
        <w:rPr>
          <w:rFonts w:hint="eastAsia" w:ascii="仿宋" w:hAnsi="仿宋" w:eastAsia="仿宋" w:cs="仿宋"/>
          <w:b/>
          <w:color w:val="auto"/>
          <w:sz w:val="72"/>
          <w:szCs w:val="72"/>
          <w:highlight w:val="none"/>
        </w:rPr>
      </w:pPr>
      <w:r>
        <w:rPr>
          <w:rFonts w:hint="eastAsia" w:ascii="仿宋" w:hAnsi="仿宋" w:eastAsia="仿宋" w:cs="仿宋"/>
          <w:color w:val="auto"/>
          <w:spacing w:val="80"/>
          <w:sz w:val="112"/>
          <w:szCs w:val="112"/>
          <w:highlight w:val="none"/>
        </w:rPr>
        <w:drawing>
          <wp:inline distT="0" distB="0" distL="114300" distR="114300">
            <wp:extent cx="2023745" cy="1744345"/>
            <wp:effectExtent l="0" t="0" r="3175" b="8255"/>
            <wp:docPr id="7" name="图片 4" descr="聚创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4" descr="聚创LOGO"/>
                    <pic:cNvPicPr>
                      <a:picLocks noChangeAspect="1"/>
                    </pic:cNvPicPr>
                  </pic:nvPicPr>
                  <pic:blipFill>
                    <a:blip r:embed="rId11"/>
                    <a:stretch>
                      <a:fillRect/>
                    </a:stretch>
                  </pic:blipFill>
                  <pic:spPr>
                    <a:xfrm>
                      <a:off x="0" y="0"/>
                      <a:ext cx="2023745" cy="1744345"/>
                    </a:xfrm>
                    <a:prstGeom prst="rect">
                      <a:avLst/>
                    </a:prstGeom>
                    <a:noFill/>
                    <a:ln>
                      <a:noFill/>
                    </a:ln>
                  </pic:spPr>
                </pic:pic>
              </a:graphicData>
            </a:graphic>
          </wp:inline>
        </w:drawing>
      </w:r>
    </w:p>
    <w:p w14:paraId="4CB2BB36">
      <w:pPr>
        <w:adjustRightInd w:val="0"/>
        <w:jc w:val="center"/>
        <w:rPr>
          <w:rFonts w:hint="eastAsia" w:ascii="仿宋" w:hAnsi="仿宋" w:eastAsia="仿宋" w:cs="仿宋"/>
          <w:b/>
          <w:color w:val="auto"/>
          <w:sz w:val="96"/>
          <w:szCs w:val="96"/>
          <w:highlight w:val="none"/>
        </w:rPr>
      </w:pPr>
    </w:p>
    <w:p w14:paraId="04282D48">
      <w:pPr>
        <w:adjustRightInd w:val="0"/>
        <w:jc w:val="center"/>
        <w:rPr>
          <w:rFonts w:hint="eastAsia" w:ascii="仿宋" w:hAnsi="仿宋" w:eastAsia="仿宋" w:cs="仿宋"/>
          <w:b/>
          <w:color w:val="auto"/>
          <w:sz w:val="96"/>
          <w:szCs w:val="96"/>
          <w:highlight w:val="none"/>
        </w:rPr>
      </w:pPr>
      <w:r>
        <w:rPr>
          <w:rFonts w:hint="eastAsia" w:ascii="仿宋" w:hAnsi="仿宋" w:eastAsia="仿宋" w:cs="仿宋"/>
          <w:b/>
          <w:color w:val="auto"/>
          <w:sz w:val="96"/>
          <w:szCs w:val="96"/>
          <w:highlight w:val="none"/>
        </w:rPr>
        <w:t>竞争性比选文件</w:t>
      </w:r>
    </w:p>
    <w:p w14:paraId="796B852E">
      <w:pPr>
        <w:adjustRightInd w:val="0"/>
        <w:jc w:val="center"/>
        <w:rPr>
          <w:rFonts w:hint="eastAsia" w:ascii="仿宋" w:hAnsi="仿宋" w:eastAsia="仿宋" w:cs="仿宋"/>
          <w:b/>
          <w:color w:val="auto"/>
          <w:sz w:val="72"/>
          <w:szCs w:val="72"/>
          <w:highlight w:val="none"/>
        </w:rPr>
      </w:pPr>
    </w:p>
    <w:p w14:paraId="6AF76C52">
      <w:pPr>
        <w:pStyle w:val="4"/>
        <w:jc w:val="both"/>
        <w:rPr>
          <w:rFonts w:hint="eastAsia" w:ascii="仿宋" w:hAnsi="仿宋" w:eastAsia="仿宋" w:cs="仿宋"/>
          <w:color w:val="auto"/>
          <w:highlight w:val="none"/>
        </w:rPr>
      </w:pPr>
    </w:p>
    <w:p w14:paraId="1CE76490">
      <w:pPr>
        <w:spacing w:line="700" w:lineRule="exact"/>
        <w:ind w:firstLine="2249" w:firstLineChars="700"/>
        <w:rPr>
          <w:rFonts w:hint="eastAsia" w:ascii="仿宋" w:hAnsi="仿宋" w:eastAsia="仿宋" w:cs="仿宋"/>
          <w:b/>
          <w:bCs/>
          <w:color w:val="auto"/>
          <w:sz w:val="32"/>
          <w:szCs w:val="32"/>
          <w:highlight w:val="none"/>
          <w:lang w:val="en-US" w:eastAsia="zh-CN"/>
        </w:rPr>
      </w:pPr>
      <w:r>
        <w:rPr>
          <w:rFonts w:hint="eastAsia" w:ascii="仿宋" w:hAnsi="仿宋" w:eastAsia="仿宋" w:cs="仿宋"/>
          <w:b/>
          <w:bCs/>
          <w:color w:val="auto"/>
          <w:sz w:val="32"/>
          <w:szCs w:val="32"/>
          <w:highlight w:val="none"/>
          <w:lang w:eastAsia="zh-CN"/>
        </w:rPr>
        <w:t>采购执行编号</w:t>
      </w:r>
      <w:r>
        <w:rPr>
          <w:rFonts w:hint="eastAsia" w:ascii="仿宋" w:hAnsi="仿宋" w:eastAsia="仿宋" w:cs="仿宋"/>
          <w:b/>
          <w:bCs/>
          <w:color w:val="auto"/>
          <w:sz w:val="32"/>
          <w:szCs w:val="32"/>
          <w:highlight w:val="none"/>
        </w:rPr>
        <w:t>：</w:t>
      </w:r>
      <w:r>
        <w:rPr>
          <w:rFonts w:hint="eastAsia" w:ascii="仿宋" w:hAnsi="仿宋" w:eastAsia="仿宋" w:cs="仿宋"/>
          <w:b/>
          <w:bCs/>
          <w:color w:val="auto"/>
          <w:sz w:val="32"/>
          <w:szCs w:val="32"/>
          <w:highlight w:val="none"/>
          <w:lang w:val="en-US" w:eastAsia="zh-CN"/>
        </w:rPr>
        <w:t>JCZB26183</w:t>
      </w:r>
    </w:p>
    <w:p w14:paraId="64257B71">
      <w:pPr>
        <w:pStyle w:val="11"/>
        <w:spacing w:line="500" w:lineRule="exact"/>
        <w:ind w:left="0"/>
        <w:jc w:val="center"/>
        <w:rPr>
          <w:rFonts w:hint="eastAsia" w:ascii="仿宋" w:hAnsi="仿宋" w:eastAsia="仿宋" w:cs="仿宋"/>
          <w:b/>
          <w:bCs/>
          <w:color w:val="auto"/>
          <w:sz w:val="32"/>
          <w:highlight w:val="none"/>
          <w:lang w:eastAsia="zh-CN"/>
        </w:rPr>
      </w:pPr>
    </w:p>
    <w:p w14:paraId="70F0A35C">
      <w:pPr>
        <w:pStyle w:val="11"/>
        <w:spacing w:line="500" w:lineRule="exact"/>
        <w:ind w:left="0"/>
        <w:jc w:val="center"/>
        <w:rPr>
          <w:rFonts w:hint="eastAsia" w:ascii="仿宋" w:hAnsi="仿宋" w:eastAsia="仿宋" w:cs="仿宋"/>
          <w:b/>
          <w:bCs/>
          <w:color w:val="auto"/>
          <w:kern w:val="2"/>
          <w:sz w:val="32"/>
          <w:szCs w:val="22"/>
          <w:highlight w:val="none"/>
          <w:lang w:val="en-US" w:eastAsia="zh-CN" w:bidi="ar-SA"/>
        </w:rPr>
      </w:pPr>
      <w:r>
        <w:rPr>
          <w:rFonts w:hint="eastAsia" w:ascii="仿宋" w:hAnsi="仿宋" w:eastAsia="仿宋" w:cs="仿宋"/>
          <w:b/>
          <w:bCs/>
          <w:color w:val="auto"/>
          <w:kern w:val="2"/>
          <w:sz w:val="32"/>
          <w:szCs w:val="22"/>
          <w:highlight w:val="none"/>
          <w:lang w:val="en-US" w:eastAsia="zh-CN" w:bidi="ar-SA"/>
        </w:rPr>
        <w:t>项目名称：物业公众责任险及附加险采购（第二次）</w:t>
      </w:r>
    </w:p>
    <w:p w14:paraId="39901B57">
      <w:pPr>
        <w:pStyle w:val="11"/>
        <w:spacing w:line="500" w:lineRule="exact"/>
        <w:ind w:left="0"/>
        <w:rPr>
          <w:rFonts w:hint="eastAsia" w:ascii="仿宋" w:hAnsi="仿宋" w:eastAsia="仿宋" w:cs="仿宋"/>
          <w:color w:val="auto"/>
          <w:sz w:val="32"/>
          <w:highlight w:val="none"/>
        </w:rPr>
      </w:pPr>
    </w:p>
    <w:p w14:paraId="132E7DC8">
      <w:pPr>
        <w:spacing w:line="500" w:lineRule="exact"/>
        <w:jc w:val="center"/>
        <w:rPr>
          <w:rFonts w:hint="eastAsia" w:ascii="仿宋" w:hAnsi="仿宋" w:eastAsia="仿宋" w:cs="仿宋"/>
          <w:color w:val="auto"/>
          <w:sz w:val="32"/>
          <w:highlight w:val="none"/>
        </w:rPr>
      </w:pPr>
    </w:p>
    <w:p w14:paraId="1B220EF2">
      <w:pPr>
        <w:spacing w:line="500" w:lineRule="exact"/>
        <w:jc w:val="center"/>
        <w:outlineLvl w:val="0"/>
        <w:rPr>
          <w:rFonts w:hint="eastAsia" w:ascii="仿宋" w:hAnsi="仿宋" w:eastAsia="仿宋" w:cs="仿宋"/>
          <w:b/>
          <w:bCs/>
          <w:color w:val="auto"/>
          <w:sz w:val="36"/>
          <w:szCs w:val="36"/>
          <w:highlight w:val="none"/>
          <w:lang w:eastAsia="zh-CN"/>
        </w:rPr>
      </w:pPr>
      <w:r>
        <w:rPr>
          <w:rFonts w:hint="eastAsia" w:ascii="仿宋" w:hAnsi="仿宋" w:eastAsia="仿宋" w:cs="仿宋"/>
          <w:b/>
          <w:bCs/>
          <w:color w:val="auto"/>
          <w:sz w:val="36"/>
          <w:szCs w:val="36"/>
          <w:highlight w:val="none"/>
        </w:rPr>
        <w:t>采购人：</w:t>
      </w:r>
      <w:r>
        <w:rPr>
          <w:rFonts w:hint="eastAsia" w:ascii="仿宋" w:hAnsi="仿宋" w:eastAsia="仿宋" w:cs="仿宋"/>
          <w:b/>
          <w:bCs/>
          <w:color w:val="auto"/>
          <w:sz w:val="36"/>
          <w:szCs w:val="36"/>
          <w:highlight w:val="none"/>
          <w:lang w:eastAsia="zh-CN"/>
        </w:rPr>
        <w:t>重庆市子漫人力资源服务有限公司、</w:t>
      </w:r>
    </w:p>
    <w:p w14:paraId="7D78A90C">
      <w:pPr>
        <w:spacing w:line="500" w:lineRule="exact"/>
        <w:jc w:val="center"/>
        <w:outlineLvl w:val="0"/>
        <w:rPr>
          <w:rFonts w:hint="eastAsia" w:ascii="仿宋" w:hAnsi="仿宋" w:eastAsia="仿宋" w:cs="仿宋"/>
          <w:b/>
          <w:bCs/>
          <w:color w:val="auto"/>
          <w:sz w:val="36"/>
          <w:szCs w:val="36"/>
          <w:highlight w:val="none"/>
        </w:rPr>
      </w:pPr>
      <w:r>
        <w:rPr>
          <w:rFonts w:hint="eastAsia" w:ascii="仿宋" w:hAnsi="仿宋" w:eastAsia="仿宋" w:cs="仿宋"/>
          <w:b/>
          <w:bCs/>
          <w:color w:val="auto"/>
          <w:sz w:val="36"/>
          <w:szCs w:val="36"/>
          <w:highlight w:val="none"/>
          <w:lang w:eastAsia="zh-CN"/>
        </w:rPr>
        <w:t>重庆市子漫人力资源服务有限公司伊顿物业分公司</w:t>
      </w:r>
    </w:p>
    <w:p w14:paraId="1E7789A4">
      <w:pPr>
        <w:snapToGrid w:val="0"/>
        <w:spacing w:line="500" w:lineRule="exact"/>
        <w:ind w:firstLine="1446" w:firstLineChars="400"/>
        <w:rPr>
          <w:rFonts w:hint="eastAsia" w:ascii="仿宋" w:hAnsi="仿宋" w:eastAsia="仿宋" w:cs="仿宋"/>
          <w:color w:val="auto"/>
          <w:sz w:val="36"/>
          <w:highlight w:val="none"/>
        </w:rPr>
      </w:pPr>
      <w:r>
        <w:rPr>
          <w:rFonts w:hint="eastAsia" w:ascii="仿宋" w:hAnsi="仿宋" w:eastAsia="仿宋" w:cs="仿宋"/>
          <w:b/>
          <w:bCs/>
          <w:color w:val="auto"/>
          <w:sz w:val="36"/>
          <w:szCs w:val="36"/>
          <w:highlight w:val="none"/>
        </w:rPr>
        <w:t>采购代理机构：</w:t>
      </w:r>
      <w:r>
        <w:rPr>
          <w:rFonts w:hint="eastAsia" w:ascii="仿宋" w:hAnsi="仿宋" w:eastAsia="仿宋" w:cs="仿宋"/>
          <w:b/>
          <w:bCs/>
          <w:color w:val="auto"/>
          <w:sz w:val="36"/>
          <w:szCs w:val="36"/>
          <w:highlight w:val="none"/>
          <w:lang w:eastAsia="zh-CN"/>
        </w:rPr>
        <w:t>重庆市聚创招标代理有限公司</w:t>
      </w:r>
    </w:p>
    <w:p w14:paraId="279EBE95">
      <w:pPr>
        <w:snapToGrid w:val="0"/>
        <w:spacing w:line="500" w:lineRule="exact"/>
        <w:jc w:val="center"/>
        <w:rPr>
          <w:rFonts w:hint="eastAsia" w:ascii="仿宋" w:hAnsi="仿宋" w:eastAsia="仿宋" w:cs="仿宋"/>
          <w:color w:val="auto"/>
          <w:sz w:val="44"/>
          <w:highlight w:val="none"/>
        </w:rPr>
        <w:sectPr>
          <w:headerReference r:id="rId5" w:type="first"/>
          <w:footerReference r:id="rId8" w:type="first"/>
          <w:headerReference r:id="rId3" w:type="default"/>
          <w:footerReference r:id="rId6" w:type="default"/>
          <w:headerReference r:id="rId4" w:type="even"/>
          <w:footerReference r:id="rId7" w:type="even"/>
          <w:pgSz w:w="11907" w:h="16840"/>
          <w:pgMar w:top="1134" w:right="1191" w:bottom="1134" w:left="1304" w:header="964" w:footer="992" w:gutter="0"/>
          <w:pgNumType w:start="1"/>
          <w:cols w:space="720" w:num="1"/>
          <w:titlePg/>
          <w:docGrid w:linePitch="312" w:charSpace="0"/>
        </w:sectPr>
      </w:pPr>
      <w:r>
        <w:rPr>
          <w:rFonts w:hint="eastAsia" w:ascii="仿宋" w:hAnsi="仿宋" w:eastAsia="仿宋" w:cs="仿宋"/>
          <w:b/>
          <w:bCs/>
          <w:color w:val="auto"/>
          <w:sz w:val="36"/>
          <w:highlight w:val="none"/>
        </w:rPr>
        <w:t>二〇二</w:t>
      </w:r>
      <w:r>
        <w:rPr>
          <w:rFonts w:hint="eastAsia" w:ascii="仿宋" w:hAnsi="仿宋" w:eastAsia="仿宋" w:cs="仿宋"/>
          <w:b/>
          <w:bCs/>
          <w:color w:val="auto"/>
          <w:sz w:val="36"/>
          <w:highlight w:val="none"/>
          <w:lang w:val="en-US" w:eastAsia="zh-CN"/>
        </w:rPr>
        <w:t>六</w:t>
      </w:r>
      <w:r>
        <w:rPr>
          <w:rFonts w:hint="eastAsia" w:ascii="仿宋" w:hAnsi="仿宋" w:eastAsia="仿宋" w:cs="仿宋"/>
          <w:b/>
          <w:bCs/>
          <w:color w:val="auto"/>
          <w:sz w:val="36"/>
          <w:highlight w:val="none"/>
        </w:rPr>
        <w:t>年</w:t>
      </w:r>
      <w:r>
        <w:rPr>
          <w:rFonts w:hint="eastAsia" w:ascii="仿宋" w:hAnsi="仿宋" w:eastAsia="仿宋" w:cs="仿宋"/>
          <w:b/>
          <w:bCs/>
          <w:color w:val="auto"/>
          <w:sz w:val="36"/>
          <w:highlight w:val="none"/>
          <w:lang w:val="en-US" w:eastAsia="zh-CN"/>
        </w:rPr>
        <w:t>九</w:t>
      </w:r>
      <w:r>
        <w:rPr>
          <w:rFonts w:hint="eastAsia" w:ascii="仿宋" w:hAnsi="仿宋" w:eastAsia="仿宋" w:cs="仿宋"/>
          <w:b/>
          <w:bCs/>
          <w:color w:val="auto"/>
          <w:sz w:val="36"/>
          <w:highlight w:val="none"/>
        </w:rPr>
        <w:t>月</w:t>
      </w:r>
    </w:p>
    <w:p w14:paraId="1499227B">
      <w:pPr>
        <w:jc w:val="center"/>
        <w:rPr>
          <w:rFonts w:hint="eastAsia" w:ascii="仿宋" w:hAnsi="仿宋" w:eastAsia="仿宋" w:cs="仿宋"/>
          <w:color w:val="auto"/>
          <w:sz w:val="44"/>
          <w:szCs w:val="44"/>
          <w:highlight w:val="none"/>
          <w:lang w:eastAsia="zh-CN"/>
        </w:rPr>
      </w:pPr>
    </w:p>
    <w:p w14:paraId="341112A3">
      <w:pPr>
        <w:jc w:val="center"/>
        <w:rPr>
          <w:rFonts w:hint="eastAsia" w:ascii="仿宋" w:hAnsi="仿宋" w:eastAsia="仿宋" w:cs="仿宋"/>
          <w:color w:val="auto"/>
          <w:sz w:val="44"/>
          <w:szCs w:val="44"/>
          <w:highlight w:val="none"/>
          <w:lang w:eastAsia="zh-CN"/>
        </w:rPr>
      </w:pPr>
      <w:r>
        <w:rPr>
          <w:rFonts w:hint="eastAsia" w:ascii="仿宋" w:hAnsi="仿宋" w:eastAsia="仿宋" w:cs="仿宋"/>
          <w:color w:val="auto"/>
          <w:sz w:val="44"/>
          <w:szCs w:val="44"/>
          <w:highlight w:val="none"/>
          <w:lang w:eastAsia="zh-CN"/>
        </w:rPr>
        <w:t>重庆市聚创招标代理有限公司</w:t>
      </w:r>
    </w:p>
    <w:p w14:paraId="25D4BFB9">
      <w:pPr>
        <w:jc w:val="center"/>
        <w:rPr>
          <w:rFonts w:hint="eastAsia" w:ascii="仿宋" w:hAnsi="仿宋" w:eastAsia="仿宋" w:cs="仿宋"/>
          <w:b/>
          <w:bCs/>
          <w:color w:val="auto"/>
          <w:spacing w:val="40"/>
          <w:sz w:val="52"/>
          <w:szCs w:val="56"/>
          <w:highlight w:val="none"/>
        </w:rPr>
      </w:pPr>
      <w:r>
        <w:rPr>
          <w:rFonts w:hint="eastAsia" w:ascii="仿宋" w:hAnsi="仿宋" w:eastAsia="仿宋" w:cs="仿宋"/>
          <w:color w:val="auto"/>
          <w:sz w:val="44"/>
          <w:szCs w:val="44"/>
          <w:highlight w:val="none"/>
        </w:rPr>
        <w:t>比选文件发售登记表</w:t>
      </w:r>
    </w:p>
    <w:tbl>
      <w:tblPr>
        <w:tblStyle w:val="24"/>
        <w:tblW w:w="8937"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11"/>
        <w:gridCol w:w="2391"/>
        <w:gridCol w:w="1596"/>
        <w:gridCol w:w="3039"/>
      </w:tblGrid>
      <w:tr w14:paraId="0DF4926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846" w:hRule="atLeast"/>
          <w:jc w:val="center"/>
        </w:trPr>
        <w:tc>
          <w:tcPr>
            <w:tcW w:w="1911" w:type="dxa"/>
            <w:vAlign w:val="center"/>
          </w:tcPr>
          <w:p w14:paraId="15F9C37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项目号</w:t>
            </w:r>
          </w:p>
        </w:tc>
        <w:tc>
          <w:tcPr>
            <w:tcW w:w="2391" w:type="dxa"/>
            <w:vAlign w:val="center"/>
          </w:tcPr>
          <w:p w14:paraId="50ADDF2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w:t>
            </w:r>
          </w:p>
        </w:tc>
        <w:tc>
          <w:tcPr>
            <w:tcW w:w="1596" w:type="dxa"/>
            <w:vAlign w:val="center"/>
          </w:tcPr>
          <w:p w14:paraId="52E64BB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采购执行编号</w:t>
            </w:r>
          </w:p>
        </w:tc>
        <w:tc>
          <w:tcPr>
            <w:tcW w:w="3039" w:type="dxa"/>
            <w:vAlign w:val="center"/>
          </w:tcPr>
          <w:p w14:paraId="6D04A030">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JCZB26183</w:t>
            </w:r>
          </w:p>
        </w:tc>
      </w:tr>
      <w:tr w14:paraId="2C61AB0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826" w:hRule="atLeast"/>
          <w:jc w:val="center"/>
        </w:trPr>
        <w:tc>
          <w:tcPr>
            <w:tcW w:w="1911" w:type="dxa"/>
            <w:vAlign w:val="center"/>
          </w:tcPr>
          <w:p w14:paraId="39FCA13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项目名称</w:t>
            </w:r>
          </w:p>
        </w:tc>
        <w:tc>
          <w:tcPr>
            <w:tcW w:w="7026" w:type="dxa"/>
            <w:gridSpan w:val="3"/>
            <w:vAlign w:val="center"/>
          </w:tcPr>
          <w:p w14:paraId="5548DE3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val="en-US" w:eastAsia="zh-CN"/>
              </w:rPr>
              <w:t>物业公众责任险及附加险采购（第二次）</w:t>
            </w:r>
          </w:p>
        </w:tc>
      </w:tr>
      <w:tr w14:paraId="680DBFD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346" w:hRule="atLeast"/>
          <w:jc w:val="center"/>
        </w:trPr>
        <w:tc>
          <w:tcPr>
            <w:tcW w:w="1911" w:type="dxa"/>
            <w:vAlign w:val="center"/>
          </w:tcPr>
          <w:p w14:paraId="227DFFD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eastAsia="zh-CN"/>
              </w:rPr>
              <w:t>供应商</w:t>
            </w:r>
            <w:r>
              <w:rPr>
                <w:rFonts w:hint="eastAsia" w:ascii="仿宋" w:hAnsi="仿宋" w:eastAsia="仿宋" w:cs="仿宋"/>
                <w:color w:val="auto"/>
                <w:sz w:val="28"/>
                <w:szCs w:val="28"/>
                <w:highlight w:val="none"/>
              </w:rPr>
              <w:t>名称</w:t>
            </w:r>
          </w:p>
        </w:tc>
        <w:tc>
          <w:tcPr>
            <w:tcW w:w="7026" w:type="dxa"/>
            <w:gridSpan w:val="3"/>
            <w:vAlign w:val="bottom"/>
          </w:tcPr>
          <w:p w14:paraId="73781BF1">
            <w:pPr>
              <w:keepNext w:val="0"/>
              <w:keepLines w:val="0"/>
              <w:pageBreakBefore w:val="0"/>
              <w:widowControl w:val="0"/>
              <w:kinsoku/>
              <w:wordWrap/>
              <w:overflowPunct/>
              <w:topLinePunct w:val="0"/>
              <w:autoSpaceDE/>
              <w:autoSpaceDN/>
              <w:bidi w:val="0"/>
              <w:adjustRightInd/>
              <w:snapToGrid/>
              <w:spacing w:line="400" w:lineRule="exact"/>
              <w:jc w:val="right"/>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w:t>
            </w:r>
            <w:r>
              <w:rPr>
                <w:rFonts w:hint="eastAsia" w:ascii="仿宋" w:hAnsi="仿宋" w:eastAsia="仿宋" w:cs="仿宋"/>
                <w:color w:val="auto"/>
                <w:sz w:val="28"/>
                <w:szCs w:val="28"/>
                <w:highlight w:val="none"/>
                <w:lang w:eastAsia="zh-CN"/>
              </w:rPr>
              <w:t>供应商</w:t>
            </w:r>
            <w:r>
              <w:rPr>
                <w:rFonts w:hint="eastAsia" w:ascii="仿宋" w:hAnsi="仿宋" w:eastAsia="仿宋" w:cs="仿宋"/>
                <w:color w:val="auto"/>
                <w:sz w:val="28"/>
                <w:szCs w:val="28"/>
                <w:highlight w:val="none"/>
              </w:rPr>
              <w:t>公章）</w:t>
            </w:r>
          </w:p>
        </w:tc>
      </w:tr>
      <w:tr w14:paraId="0CAEA93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jc w:val="center"/>
        </w:trPr>
        <w:tc>
          <w:tcPr>
            <w:tcW w:w="1911" w:type="dxa"/>
            <w:vAlign w:val="center"/>
          </w:tcPr>
          <w:p w14:paraId="33B7CC8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联系人</w:t>
            </w:r>
          </w:p>
        </w:tc>
        <w:tc>
          <w:tcPr>
            <w:tcW w:w="2391" w:type="dxa"/>
            <w:vAlign w:val="center"/>
          </w:tcPr>
          <w:p w14:paraId="118EE830">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sz w:val="28"/>
                <w:szCs w:val="28"/>
                <w:highlight w:val="none"/>
              </w:rPr>
            </w:pPr>
          </w:p>
        </w:tc>
        <w:tc>
          <w:tcPr>
            <w:tcW w:w="1596" w:type="dxa"/>
            <w:vAlign w:val="center"/>
          </w:tcPr>
          <w:p w14:paraId="4E75126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手机</w:t>
            </w:r>
          </w:p>
        </w:tc>
        <w:tc>
          <w:tcPr>
            <w:tcW w:w="3039" w:type="dxa"/>
            <w:vAlign w:val="center"/>
          </w:tcPr>
          <w:p w14:paraId="4F5FA254">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sz w:val="28"/>
                <w:szCs w:val="28"/>
                <w:highlight w:val="none"/>
              </w:rPr>
            </w:pPr>
          </w:p>
        </w:tc>
      </w:tr>
      <w:tr w14:paraId="0CD773D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jc w:val="center"/>
        </w:trPr>
        <w:tc>
          <w:tcPr>
            <w:tcW w:w="1911" w:type="dxa"/>
            <w:vAlign w:val="center"/>
          </w:tcPr>
          <w:p w14:paraId="0E4BD12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办公电话</w:t>
            </w:r>
          </w:p>
        </w:tc>
        <w:tc>
          <w:tcPr>
            <w:tcW w:w="2391" w:type="dxa"/>
            <w:vAlign w:val="center"/>
          </w:tcPr>
          <w:p w14:paraId="40BBF6C3">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sz w:val="28"/>
                <w:szCs w:val="28"/>
                <w:highlight w:val="none"/>
              </w:rPr>
            </w:pPr>
          </w:p>
        </w:tc>
        <w:tc>
          <w:tcPr>
            <w:tcW w:w="1596" w:type="dxa"/>
            <w:vAlign w:val="center"/>
          </w:tcPr>
          <w:p w14:paraId="4C71194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传真</w:t>
            </w:r>
          </w:p>
        </w:tc>
        <w:tc>
          <w:tcPr>
            <w:tcW w:w="3039" w:type="dxa"/>
            <w:vAlign w:val="center"/>
          </w:tcPr>
          <w:p w14:paraId="12E3A322">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sz w:val="28"/>
                <w:szCs w:val="28"/>
                <w:highlight w:val="none"/>
              </w:rPr>
            </w:pPr>
          </w:p>
        </w:tc>
      </w:tr>
      <w:tr w14:paraId="1B6B2AE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jc w:val="center"/>
        </w:trPr>
        <w:tc>
          <w:tcPr>
            <w:tcW w:w="1911" w:type="dxa"/>
            <w:vAlign w:val="center"/>
          </w:tcPr>
          <w:p w14:paraId="64D0CDF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E-mail</w:t>
            </w:r>
          </w:p>
        </w:tc>
        <w:tc>
          <w:tcPr>
            <w:tcW w:w="7026" w:type="dxa"/>
            <w:gridSpan w:val="3"/>
            <w:vAlign w:val="center"/>
          </w:tcPr>
          <w:p w14:paraId="4CEB6140">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sz w:val="28"/>
                <w:szCs w:val="28"/>
                <w:highlight w:val="none"/>
              </w:rPr>
            </w:pPr>
          </w:p>
        </w:tc>
      </w:tr>
      <w:tr w14:paraId="7326A28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jc w:val="center"/>
        </w:trPr>
        <w:tc>
          <w:tcPr>
            <w:tcW w:w="1911" w:type="dxa"/>
            <w:vAlign w:val="center"/>
          </w:tcPr>
          <w:p w14:paraId="59A069C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单位地址</w:t>
            </w:r>
          </w:p>
        </w:tc>
        <w:tc>
          <w:tcPr>
            <w:tcW w:w="7026" w:type="dxa"/>
            <w:gridSpan w:val="3"/>
            <w:vAlign w:val="center"/>
          </w:tcPr>
          <w:p w14:paraId="717CE597">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sz w:val="28"/>
                <w:szCs w:val="28"/>
                <w:highlight w:val="none"/>
              </w:rPr>
            </w:pPr>
          </w:p>
        </w:tc>
      </w:tr>
      <w:tr w14:paraId="5B8AFC4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jc w:val="center"/>
        </w:trPr>
        <w:tc>
          <w:tcPr>
            <w:tcW w:w="1911" w:type="dxa"/>
            <w:vAlign w:val="center"/>
          </w:tcPr>
          <w:p w14:paraId="268C906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分包号</w:t>
            </w:r>
          </w:p>
        </w:tc>
        <w:tc>
          <w:tcPr>
            <w:tcW w:w="7026" w:type="dxa"/>
            <w:gridSpan w:val="3"/>
            <w:vAlign w:val="center"/>
          </w:tcPr>
          <w:p w14:paraId="3028EAE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分包名称</w:t>
            </w:r>
          </w:p>
        </w:tc>
      </w:tr>
      <w:tr w14:paraId="4C1668A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1911" w:type="dxa"/>
            <w:vAlign w:val="center"/>
          </w:tcPr>
          <w:p w14:paraId="40FFD964">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sz w:val="28"/>
                <w:szCs w:val="28"/>
                <w:highlight w:val="none"/>
                <w:lang w:val="en-US" w:eastAsia="zh-CN"/>
              </w:rPr>
            </w:pPr>
          </w:p>
        </w:tc>
        <w:tc>
          <w:tcPr>
            <w:tcW w:w="7026" w:type="dxa"/>
            <w:gridSpan w:val="3"/>
            <w:vAlign w:val="center"/>
          </w:tcPr>
          <w:p w14:paraId="5883E3B9">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sz w:val="28"/>
                <w:szCs w:val="28"/>
                <w:highlight w:val="none"/>
              </w:rPr>
            </w:pPr>
          </w:p>
        </w:tc>
      </w:tr>
      <w:tr w14:paraId="7C99532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jc w:val="center"/>
        </w:trPr>
        <w:tc>
          <w:tcPr>
            <w:tcW w:w="1911" w:type="dxa"/>
            <w:vAlign w:val="center"/>
          </w:tcPr>
          <w:p w14:paraId="1FD5BEBA">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sz w:val="28"/>
                <w:szCs w:val="28"/>
                <w:highlight w:val="none"/>
              </w:rPr>
            </w:pPr>
          </w:p>
        </w:tc>
        <w:tc>
          <w:tcPr>
            <w:tcW w:w="7026" w:type="dxa"/>
            <w:gridSpan w:val="3"/>
            <w:vAlign w:val="center"/>
          </w:tcPr>
          <w:p w14:paraId="1C0DC7D9">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sz w:val="28"/>
                <w:szCs w:val="28"/>
                <w:highlight w:val="none"/>
              </w:rPr>
            </w:pPr>
          </w:p>
        </w:tc>
      </w:tr>
      <w:tr w14:paraId="0133A4A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jc w:val="center"/>
        </w:trPr>
        <w:tc>
          <w:tcPr>
            <w:tcW w:w="1911" w:type="dxa"/>
            <w:vAlign w:val="center"/>
          </w:tcPr>
          <w:p w14:paraId="1B6C456A">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sz w:val="28"/>
                <w:szCs w:val="28"/>
                <w:highlight w:val="none"/>
              </w:rPr>
            </w:pPr>
          </w:p>
        </w:tc>
        <w:tc>
          <w:tcPr>
            <w:tcW w:w="7026" w:type="dxa"/>
            <w:gridSpan w:val="3"/>
            <w:vAlign w:val="center"/>
          </w:tcPr>
          <w:p w14:paraId="216BA250">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sz w:val="28"/>
                <w:szCs w:val="28"/>
                <w:highlight w:val="none"/>
              </w:rPr>
            </w:pPr>
          </w:p>
        </w:tc>
      </w:tr>
      <w:tr w14:paraId="5B2CFF5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jc w:val="center"/>
        </w:trPr>
        <w:tc>
          <w:tcPr>
            <w:tcW w:w="1911" w:type="dxa"/>
            <w:vAlign w:val="center"/>
          </w:tcPr>
          <w:p w14:paraId="41D1C463">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sz w:val="28"/>
                <w:szCs w:val="28"/>
                <w:highlight w:val="none"/>
              </w:rPr>
            </w:pPr>
          </w:p>
        </w:tc>
        <w:tc>
          <w:tcPr>
            <w:tcW w:w="7026" w:type="dxa"/>
            <w:gridSpan w:val="3"/>
            <w:vAlign w:val="center"/>
          </w:tcPr>
          <w:p w14:paraId="7025A7CC">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sz w:val="28"/>
                <w:szCs w:val="28"/>
                <w:highlight w:val="none"/>
              </w:rPr>
            </w:pPr>
          </w:p>
        </w:tc>
      </w:tr>
      <w:tr w14:paraId="670434F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jc w:val="center"/>
        </w:trPr>
        <w:tc>
          <w:tcPr>
            <w:tcW w:w="8937" w:type="dxa"/>
            <w:gridSpan w:val="4"/>
            <w:vAlign w:val="center"/>
          </w:tcPr>
          <w:p w14:paraId="5EDC539B">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购分包号为</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u w:val="single"/>
                <w:lang w:val="en-US" w:eastAsia="zh-CN"/>
              </w:rPr>
              <w:t>/</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的标书，共计</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元</w:t>
            </w:r>
          </w:p>
        </w:tc>
      </w:tr>
    </w:tbl>
    <w:p w14:paraId="1402FE43">
      <w:pPr>
        <w:rPr>
          <w:rFonts w:hint="eastAsia" w:ascii="仿宋" w:hAnsi="仿宋" w:eastAsia="仿宋" w:cs="仿宋"/>
          <w:color w:val="auto"/>
          <w:sz w:val="24"/>
          <w:highlight w:val="none"/>
        </w:rPr>
      </w:pPr>
    </w:p>
    <w:p w14:paraId="0B81437A">
      <w:pPr>
        <w:ind w:firstLine="360" w:firstLineChars="150"/>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购买人：                       日期：</w:t>
      </w:r>
    </w:p>
    <w:p w14:paraId="7C5DBAED">
      <w:pPr>
        <w:rPr>
          <w:rFonts w:hint="eastAsia" w:ascii="仿宋" w:hAnsi="仿宋" w:eastAsia="仿宋" w:cs="仿宋"/>
          <w:color w:val="auto"/>
          <w:sz w:val="44"/>
          <w:highlight w:val="none"/>
        </w:rPr>
      </w:pPr>
      <w:r>
        <w:rPr>
          <w:rFonts w:hint="eastAsia" w:ascii="仿宋" w:hAnsi="仿宋" w:eastAsia="仿宋" w:cs="仿宋"/>
          <w:color w:val="auto"/>
          <w:sz w:val="44"/>
          <w:highlight w:val="none"/>
        </w:rPr>
        <w:br w:type="page"/>
      </w:r>
    </w:p>
    <w:p w14:paraId="7DF93DA7">
      <w:pPr>
        <w:snapToGrid w:val="0"/>
        <w:spacing w:line="500" w:lineRule="exact"/>
        <w:jc w:val="center"/>
        <w:rPr>
          <w:rFonts w:hint="eastAsia" w:ascii="仿宋" w:hAnsi="仿宋" w:eastAsia="仿宋" w:cs="仿宋"/>
          <w:color w:val="auto"/>
          <w:sz w:val="44"/>
          <w:highlight w:val="none"/>
        </w:rPr>
      </w:pPr>
    </w:p>
    <w:p w14:paraId="5DB2234A">
      <w:pPr>
        <w:snapToGrid w:val="0"/>
        <w:spacing w:line="500" w:lineRule="exact"/>
        <w:jc w:val="center"/>
        <w:rPr>
          <w:rFonts w:hint="eastAsia" w:ascii="仿宋" w:hAnsi="仿宋" w:eastAsia="仿宋" w:cs="仿宋"/>
          <w:color w:val="auto"/>
          <w:sz w:val="44"/>
          <w:highlight w:val="none"/>
        </w:rPr>
      </w:pPr>
      <w:r>
        <w:rPr>
          <w:rFonts w:hint="eastAsia" w:ascii="仿宋" w:hAnsi="仿宋" w:eastAsia="仿宋" w:cs="仿宋"/>
          <w:color w:val="auto"/>
          <w:sz w:val="44"/>
          <w:highlight w:val="none"/>
        </w:rPr>
        <w:t>目  录</w:t>
      </w:r>
    </w:p>
    <w:p w14:paraId="4D468922">
      <w:pPr>
        <w:pStyle w:val="18"/>
        <w:tabs>
          <w:tab w:val="right" w:leader="dot" w:pos="9412"/>
          <w:tab w:val="clear" w:pos="1260"/>
          <w:tab w:val="clear" w:pos="1685"/>
          <w:tab w:val="clear" w:pos="8400"/>
        </w:tabs>
        <w:ind w:firstLine="240"/>
        <w:rPr>
          <w:rFonts w:hint="eastAsia" w:ascii="仿宋" w:hAnsi="仿宋" w:eastAsia="仿宋" w:cs="仿宋"/>
          <w:color w:val="auto"/>
          <w:sz w:val="24"/>
          <w:szCs w:val="24"/>
          <w:highlight w:val="none"/>
        </w:rPr>
      </w:pPr>
    </w:p>
    <w:p w14:paraId="04588FFD">
      <w:pPr>
        <w:pStyle w:val="18"/>
        <w:tabs>
          <w:tab w:val="right" w:leader="dot" w:pos="9639"/>
          <w:tab w:val="clear" w:pos="1260"/>
          <w:tab w:val="clear" w:pos="1685"/>
          <w:tab w:val="clear" w:pos="8400"/>
        </w:tabs>
      </w:pPr>
      <w:r>
        <w:rPr>
          <w:rFonts w:hint="eastAsia" w:ascii="仿宋" w:hAnsi="仿宋" w:eastAsia="仿宋" w:cs="仿宋"/>
          <w:color w:val="auto"/>
          <w:sz w:val="24"/>
          <w:szCs w:val="24"/>
          <w:highlight w:val="none"/>
        </w:rPr>
        <w:fldChar w:fldCharType="begin"/>
      </w:r>
      <w:r>
        <w:rPr>
          <w:rFonts w:hint="eastAsia" w:ascii="仿宋" w:hAnsi="仿宋" w:eastAsia="仿宋" w:cs="仿宋"/>
          <w:color w:val="auto"/>
          <w:sz w:val="24"/>
          <w:szCs w:val="24"/>
          <w:highlight w:val="none"/>
        </w:rPr>
        <w:instrText xml:space="preserve"> TOC \o "1-2" \h \z </w:instrText>
      </w:r>
      <w:r>
        <w:rPr>
          <w:rFonts w:hint="eastAsia" w:ascii="仿宋" w:hAnsi="仿宋" w:eastAsia="仿宋" w:cs="仿宋"/>
          <w:color w:val="auto"/>
          <w:sz w:val="24"/>
          <w:szCs w:val="24"/>
          <w:highlight w:val="none"/>
        </w:rPr>
        <w:fldChar w:fldCharType="separate"/>
      </w:r>
      <w:r>
        <w:rPr>
          <w:rFonts w:hint="eastAsia" w:ascii="仿宋" w:hAnsi="仿宋" w:eastAsia="仿宋" w:cs="仿宋"/>
          <w:color w:val="auto"/>
          <w:szCs w:val="24"/>
          <w:highlight w:val="none"/>
        </w:rPr>
        <w:fldChar w:fldCharType="begin"/>
      </w:r>
      <w:r>
        <w:rPr>
          <w:rFonts w:hint="eastAsia" w:ascii="仿宋" w:hAnsi="仿宋" w:eastAsia="仿宋" w:cs="仿宋"/>
          <w:szCs w:val="24"/>
          <w:highlight w:val="none"/>
        </w:rPr>
        <w:instrText xml:space="preserve"> HYPERLINK \l _Toc426 </w:instrText>
      </w:r>
      <w:r>
        <w:rPr>
          <w:rFonts w:hint="eastAsia" w:ascii="仿宋" w:hAnsi="仿宋" w:eastAsia="仿宋" w:cs="仿宋"/>
          <w:szCs w:val="24"/>
          <w:highlight w:val="none"/>
        </w:rPr>
        <w:fldChar w:fldCharType="separate"/>
      </w:r>
      <w:r>
        <w:rPr>
          <w:rFonts w:hint="eastAsia" w:ascii="仿宋" w:hAnsi="仿宋" w:eastAsia="仿宋" w:cs="仿宋"/>
          <w:bCs/>
          <w:szCs w:val="44"/>
          <w:highlight w:val="none"/>
        </w:rPr>
        <w:t xml:space="preserve">第一篇  </w:t>
      </w:r>
      <w:r>
        <w:rPr>
          <w:rFonts w:hint="eastAsia" w:ascii="仿宋" w:hAnsi="仿宋" w:eastAsia="仿宋" w:cs="仿宋"/>
          <w:bCs/>
          <w:szCs w:val="44"/>
          <w:highlight w:val="none"/>
          <w:lang w:eastAsia="zh-CN"/>
        </w:rPr>
        <w:t>比选</w:t>
      </w:r>
      <w:r>
        <w:rPr>
          <w:rFonts w:hint="eastAsia" w:ascii="仿宋" w:hAnsi="仿宋" w:eastAsia="仿宋" w:cs="仿宋"/>
          <w:bCs/>
          <w:szCs w:val="44"/>
          <w:highlight w:val="none"/>
        </w:rPr>
        <w:t>邀请书</w:t>
      </w:r>
      <w:r>
        <w:tab/>
      </w:r>
      <w:r>
        <w:fldChar w:fldCharType="begin"/>
      </w:r>
      <w:r>
        <w:instrText xml:space="preserve"> PAGEREF _Toc426 \h </w:instrText>
      </w:r>
      <w:r>
        <w:fldChar w:fldCharType="separate"/>
      </w:r>
      <w:r>
        <w:t>- 5 -</w:t>
      </w:r>
      <w:r>
        <w:fldChar w:fldCharType="end"/>
      </w:r>
      <w:r>
        <w:rPr>
          <w:rFonts w:hint="eastAsia" w:ascii="仿宋" w:hAnsi="仿宋" w:eastAsia="仿宋" w:cs="仿宋"/>
          <w:color w:val="auto"/>
          <w:szCs w:val="24"/>
          <w:highlight w:val="none"/>
        </w:rPr>
        <w:fldChar w:fldCharType="end"/>
      </w:r>
    </w:p>
    <w:p w14:paraId="44A77746">
      <w:pPr>
        <w:pStyle w:val="19"/>
        <w:tabs>
          <w:tab w:val="right" w:leader="dot" w:pos="9639"/>
          <w:tab w:val="clear" w:pos="8400"/>
        </w:tabs>
      </w:pPr>
      <w:r>
        <w:rPr>
          <w:rFonts w:hint="eastAsia" w:ascii="仿宋" w:hAnsi="仿宋" w:eastAsia="仿宋" w:cs="仿宋"/>
          <w:color w:val="auto"/>
          <w:szCs w:val="24"/>
          <w:highlight w:val="none"/>
        </w:rPr>
        <w:fldChar w:fldCharType="begin"/>
      </w:r>
      <w:r>
        <w:rPr>
          <w:rFonts w:hint="eastAsia" w:ascii="仿宋" w:hAnsi="仿宋" w:eastAsia="仿宋" w:cs="仿宋"/>
          <w:szCs w:val="24"/>
          <w:highlight w:val="none"/>
        </w:rPr>
        <w:instrText xml:space="preserve"> HYPERLINK \l _Toc28219 </w:instrText>
      </w:r>
      <w:r>
        <w:rPr>
          <w:rFonts w:hint="eastAsia" w:ascii="仿宋" w:hAnsi="仿宋" w:eastAsia="仿宋" w:cs="仿宋"/>
          <w:szCs w:val="24"/>
          <w:highlight w:val="none"/>
        </w:rPr>
        <w:fldChar w:fldCharType="separate"/>
      </w:r>
      <w:r>
        <w:rPr>
          <w:rFonts w:hint="eastAsia" w:ascii="仿宋" w:hAnsi="仿宋" w:eastAsia="仿宋" w:cs="仿宋"/>
          <w:kern w:val="2"/>
          <w:szCs w:val="24"/>
          <w:lang w:val="en-US" w:eastAsia="zh-CN" w:bidi="ar-SA"/>
        </w:rPr>
        <w:t>一、</w:t>
      </w:r>
      <w:r>
        <w:rPr>
          <w:rFonts w:hint="eastAsia" w:ascii="仿宋" w:hAnsi="仿宋" w:eastAsia="仿宋" w:cs="仿宋"/>
          <w:szCs w:val="24"/>
          <w:highlight w:val="none"/>
        </w:rPr>
        <w:t>比选内容</w:t>
      </w:r>
      <w:r>
        <w:tab/>
      </w:r>
      <w:r>
        <w:fldChar w:fldCharType="begin"/>
      </w:r>
      <w:r>
        <w:instrText xml:space="preserve"> PAGEREF _Toc28219 \h </w:instrText>
      </w:r>
      <w:r>
        <w:fldChar w:fldCharType="separate"/>
      </w:r>
      <w:r>
        <w:t>- 5 -</w:t>
      </w:r>
      <w:r>
        <w:fldChar w:fldCharType="end"/>
      </w:r>
      <w:r>
        <w:rPr>
          <w:rFonts w:hint="eastAsia" w:ascii="仿宋" w:hAnsi="仿宋" w:eastAsia="仿宋" w:cs="仿宋"/>
          <w:color w:val="auto"/>
          <w:szCs w:val="24"/>
          <w:highlight w:val="none"/>
        </w:rPr>
        <w:fldChar w:fldCharType="end"/>
      </w:r>
    </w:p>
    <w:p w14:paraId="42AF0E1C">
      <w:pPr>
        <w:pStyle w:val="19"/>
        <w:tabs>
          <w:tab w:val="right" w:leader="dot" w:pos="9639"/>
          <w:tab w:val="clear" w:pos="8400"/>
        </w:tabs>
      </w:pPr>
      <w:r>
        <w:rPr>
          <w:rFonts w:hint="eastAsia" w:ascii="仿宋" w:hAnsi="仿宋" w:eastAsia="仿宋" w:cs="仿宋"/>
          <w:color w:val="auto"/>
          <w:szCs w:val="24"/>
          <w:highlight w:val="none"/>
        </w:rPr>
        <w:fldChar w:fldCharType="begin"/>
      </w:r>
      <w:r>
        <w:rPr>
          <w:rFonts w:hint="eastAsia" w:ascii="仿宋" w:hAnsi="仿宋" w:eastAsia="仿宋" w:cs="仿宋"/>
          <w:szCs w:val="24"/>
          <w:highlight w:val="none"/>
        </w:rPr>
        <w:instrText xml:space="preserve"> HYPERLINK \l _Toc1082 </w:instrText>
      </w:r>
      <w:r>
        <w:rPr>
          <w:rFonts w:hint="eastAsia" w:ascii="仿宋" w:hAnsi="仿宋" w:eastAsia="仿宋" w:cs="仿宋"/>
          <w:szCs w:val="24"/>
          <w:highlight w:val="none"/>
        </w:rPr>
        <w:fldChar w:fldCharType="separate"/>
      </w:r>
      <w:r>
        <w:rPr>
          <w:rFonts w:hint="eastAsia" w:ascii="仿宋" w:hAnsi="仿宋" w:eastAsia="仿宋" w:cs="仿宋"/>
          <w:kern w:val="2"/>
          <w:szCs w:val="24"/>
          <w:lang w:val="en-US" w:eastAsia="zh-CN" w:bidi="ar-SA"/>
        </w:rPr>
        <w:t>二、资金来源</w:t>
      </w:r>
      <w:r>
        <w:tab/>
      </w:r>
      <w:r>
        <w:fldChar w:fldCharType="begin"/>
      </w:r>
      <w:r>
        <w:instrText xml:space="preserve"> PAGEREF _Toc1082 \h </w:instrText>
      </w:r>
      <w:r>
        <w:fldChar w:fldCharType="separate"/>
      </w:r>
      <w:r>
        <w:t>- 5 -</w:t>
      </w:r>
      <w:r>
        <w:fldChar w:fldCharType="end"/>
      </w:r>
      <w:r>
        <w:rPr>
          <w:rFonts w:hint="eastAsia" w:ascii="仿宋" w:hAnsi="仿宋" w:eastAsia="仿宋" w:cs="仿宋"/>
          <w:color w:val="auto"/>
          <w:szCs w:val="24"/>
          <w:highlight w:val="none"/>
        </w:rPr>
        <w:fldChar w:fldCharType="end"/>
      </w:r>
    </w:p>
    <w:p w14:paraId="721C7253">
      <w:pPr>
        <w:pStyle w:val="19"/>
        <w:tabs>
          <w:tab w:val="right" w:leader="dot" w:pos="9639"/>
          <w:tab w:val="clear" w:pos="8400"/>
        </w:tabs>
      </w:pPr>
      <w:r>
        <w:rPr>
          <w:rFonts w:hint="eastAsia" w:ascii="仿宋" w:hAnsi="仿宋" w:eastAsia="仿宋" w:cs="仿宋"/>
          <w:color w:val="auto"/>
          <w:szCs w:val="24"/>
          <w:highlight w:val="none"/>
        </w:rPr>
        <w:fldChar w:fldCharType="begin"/>
      </w:r>
      <w:r>
        <w:rPr>
          <w:rFonts w:hint="eastAsia" w:ascii="仿宋" w:hAnsi="仿宋" w:eastAsia="仿宋" w:cs="仿宋"/>
          <w:szCs w:val="24"/>
          <w:highlight w:val="none"/>
        </w:rPr>
        <w:instrText xml:space="preserve"> HYPERLINK \l _Toc13084 </w:instrText>
      </w:r>
      <w:r>
        <w:rPr>
          <w:rFonts w:hint="eastAsia" w:ascii="仿宋" w:hAnsi="仿宋" w:eastAsia="仿宋" w:cs="仿宋"/>
          <w:szCs w:val="24"/>
          <w:highlight w:val="none"/>
        </w:rPr>
        <w:fldChar w:fldCharType="separate"/>
      </w:r>
      <w:r>
        <w:rPr>
          <w:rFonts w:hint="eastAsia" w:ascii="仿宋" w:hAnsi="仿宋" w:eastAsia="仿宋" w:cs="仿宋"/>
          <w:kern w:val="2"/>
          <w:szCs w:val="24"/>
          <w:lang w:val="en-US" w:eastAsia="zh-CN" w:bidi="ar-SA"/>
        </w:rPr>
        <w:t>三、供应商资格条件</w:t>
      </w:r>
      <w:r>
        <w:tab/>
      </w:r>
      <w:r>
        <w:fldChar w:fldCharType="begin"/>
      </w:r>
      <w:r>
        <w:instrText xml:space="preserve"> PAGEREF _Toc13084 \h </w:instrText>
      </w:r>
      <w:r>
        <w:fldChar w:fldCharType="separate"/>
      </w:r>
      <w:r>
        <w:t>- 5 -</w:t>
      </w:r>
      <w:r>
        <w:fldChar w:fldCharType="end"/>
      </w:r>
      <w:r>
        <w:rPr>
          <w:rFonts w:hint="eastAsia" w:ascii="仿宋" w:hAnsi="仿宋" w:eastAsia="仿宋" w:cs="仿宋"/>
          <w:color w:val="auto"/>
          <w:szCs w:val="24"/>
          <w:highlight w:val="none"/>
        </w:rPr>
        <w:fldChar w:fldCharType="end"/>
      </w:r>
    </w:p>
    <w:p w14:paraId="55626D68">
      <w:pPr>
        <w:pStyle w:val="19"/>
        <w:tabs>
          <w:tab w:val="right" w:leader="dot" w:pos="9639"/>
          <w:tab w:val="clear" w:pos="8400"/>
        </w:tabs>
      </w:pPr>
      <w:r>
        <w:rPr>
          <w:rFonts w:hint="eastAsia" w:ascii="仿宋" w:hAnsi="仿宋" w:eastAsia="仿宋" w:cs="仿宋"/>
          <w:color w:val="auto"/>
          <w:szCs w:val="24"/>
          <w:highlight w:val="none"/>
        </w:rPr>
        <w:fldChar w:fldCharType="begin"/>
      </w:r>
      <w:r>
        <w:rPr>
          <w:rFonts w:hint="eastAsia" w:ascii="仿宋" w:hAnsi="仿宋" w:eastAsia="仿宋" w:cs="仿宋"/>
          <w:szCs w:val="24"/>
          <w:highlight w:val="none"/>
        </w:rPr>
        <w:instrText xml:space="preserve"> HYPERLINK \l _Toc2057 </w:instrText>
      </w:r>
      <w:r>
        <w:rPr>
          <w:rFonts w:hint="eastAsia" w:ascii="仿宋" w:hAnsi="仿宋" w:eastAsia="仿宋" w:cs="仿宋"/>
          <w:szCs w:val="24"/>
          <w:highlight w:val="none"/>
        </w:rPr>
        <w:fldChar w:fldCharType="separate"/>
      </w:r>
      <w:r>
        <w:rPr>
          <w:rFonts w:hint="eastAsia" w:ascii="仿宋" w:hAnsi="仿宋" w:eastAsia="仿宋" w:cs="仿宋"/>
          <w:kern w:val="2"/>
          <w:szCs w:val="24"/>
          <w:lang w:val="en-US" w:eastAsia="zh-CN" w:bidi="ar-SA"/>
        </w:rPr>
        <w:t>四、比选有关说明</w:t>
      </w:r>
      <w:r>
        <w:tab/>
      </w:r>
      <w:r>
        <w:fldChar w:fldCharType="begin"/>
      </w:r>
      <w:r>
        <w:instrText xml:space="preserve"> PAGEREF _Toc2057 \h </w:instrText>
      </w:r>
      <w:r>
        <w:fldChar w:fldCharType="separate"/>
      </w:r>
      <w:r>
        <w:t>- 5 -</w:t>
      </w:r>
      <w:r>
        <w:fldChar w:fldCharType="end"/>
      </w:r>
      <w:r>
        <w:rPr>
          <w:rFonts w:hint="eastAsia" w:ascii="仿宋" w:hAnsi="仿宋" w:eastAsia="仿宋" w:cs="仿宋"/>
          <w:color w:val="auto"/>
          <w:szCs w:val="24"/>
          <w:highlight w:val="none"/>
        </w:rPr>
        <w:fldChar w:fldCharType="end"/>
      </w:r>
    </w:p>
    <w:p w14:paraId="339E11F3">
      <w:pPr>
        <w:pStyle w:val="19"/>
        <w:tabs>
          <w:tab w:val="right" w:leader="dot" w:pos="9639"/>
          <w:tab w:val="clear" w:pos="8400"/>
        </w:tabs>
      </w:pPr>
      <w:r>
        <w:rPr>
          <w:rFonts w:hint="eastAsia" w:ascii="仿宋" w:hAnsi="仿宋" w:eastAsia="仿宋" w:cs="仿宋"/>
          <w:color w:val="auto"/>
          <w:szCs w:val="24"/>
          <w:highlight w:val="none"/>
        </w:rPr>
        <w:fldChar w:fldCharType="begin"/>
      </w:r>
      <w:r>
        <w:rPr>
          <w:rFonts w:hint="eastAsia" w:ascii="仿宋" w:hAnsi="仿宋" w:eastAsia="仿宋" w:cs="仿宋"/>
          <w:szCs w:val="24"/>
          <w:highlight w:val="none"/>
        </w:rPr>
        <w:instrText xml:space="preserve"> HYPERLINK \l _Toc2043 </w:instrText>
      </w:r>
      <w:r>
        <w:rPr>
          <w:rFonts w:hint="eastAsia" w:ascii="仿宋" w:hAnsi="仿宋" w:eastAsia="仿宋" w:cs="仿宋"/>
          <w:szCs w:val="24"/>
          <w:highlight w:val="none"/>
        </w:rPr>
        <w:fldChar w:fldCharType="separate"/>
      </w:r>
      <w:r>
        <w:rPr>
          <w:rFonts w:hint="eastAsia" w:ascii="仿宋" w:hAnsi="仿宋" w:eastAsia="仿宋" w:cs="仿宋"/>
          <w:kern w:val="2"/>
          <w:szCs w:val="24"/>
          <w:lang w:val="en-US" w:eastAsia="zh-CN" w:bidi="ar-SA"/>
        </w:rPr>
        <w:t>五、比选保证金</w:t>
      </w:r>
      <w:r>
        <w:tab/>
      </w:r>
      <w:r>
        <w:fldChar w:fldCharType="begin"/>
      </w:r>
      <w:r>
        <w:instrText xml:space="preserve"> PAGEREF _Toc2043 \h </w:instrText>
      </w:r>
      <w:r>
        <w:fldChar w:fldCharType="separate"/>
      </w:r>
      <w:r>
        <w:t>- 6 -</w:t>
      </w:r>
      <w:r>
        <w:fldChar w:fldCharType="end"/>
      </w:r>
      <w:r>
        <w:rPr>
          <w:rFonts w:hint="eastAsia" w:ascii="仿宋" w:hAnsi="仿宋" w:eastAsia="仿宋" w:cs="仿宋"/>
          <w:color w:val="auto"/>
          <w:szCs w:val="24"/>
          <w:highlight w:val="none"/>
        </w:rPr>
        <w:fldChar w:fldCharType="end"/>
      </w:r>
    </w:p>
    <w:p w14:paraId="3A87F032">
      <w:pPr>
        <w:pStyle w:val="19"/>
        <w:tabs>
          <w:tab w:val="right" w:leader="dot" w:pos="9639"/>
          <w:tab w:val="clear" w:pos="8400"/>
        </w:tabs>
      </w:pPr>
      <w:r>
        <w:rPr>
          <w:rFonts w:hint="eastAsia" w:ascii="仿宋" w:hAnsi="仿宋" w:eastAsia="仿宋" w:cs="仿宋"/>
          <w:color w:val="auto"/>
          <w:szCs w:val="24"/>
          <w:highlight w:val="none"/>
        </w:rPr>
        <w:fldChar w:fldCharType="begin"/>
      </w:r>
      <w:r>
        <w:rPr>
          <w:rFonts w:hint="eastAsia" w:ascii="仿宋" w:hAnsi="仿宋" w:eastAsia="仿宋" w:cs="仿宋"/>
          <w:szCs w:val="24"/>
          <w:highlight w:val="none"/>
        </w:rPr>
        <w:instrText xml:space="preserve"> HYPERLINK \l _Toc24999 </w:instrText>
      </w:r>
      <w:r>
        <w:rPr>
          <w:rFonts w:hint="eastAsia" w:ascii="仿宋" w:hAnsi="仿宋" w:eastAsia="仿宋" w:cs="仿宋"/>
          <w:szCs w:val="24"/>
          <w:highlight w:val="none"/>
        </w:rPr>
        <w:fldChar w:fldCharType="separate"/>
      </w:r>
      <w:r>
        <w:rPr>
          <w:rFonts w:hint="eastAsia" w:ascii="仿宋" w:hAnsi="仿宋" w:eastAsia="仿宋" w:cs="仿宋"/>
          <w:kern w:val="2"/>
          <w:szCs w:val="24"/>
          <w:lang w:val="en-US" w:eastAsia="zh-CN" w:bidi="ar-SA"/>
        </w:rPr>
        <w:t>六、其它有关规定</w:t>
      </w:r>
      <w:r>
        <w:tab/>
      </w:r>
      <w:r>
        <w:fldChar w:fldCharType="begin"/>
      </w:r>
      <w:r>
        <w:instrText xml:space="preserve"> PAGEREF _Toc24999 \h </w:instrText>
      </w:r>
      <w:r>
        <w:fldChar w:fldCharType="separate"/>
      </w:r>
      <w:r>
        <w:t>- 6 -</w:t>
      </w:r>
      <w:r>
        <w:fldChar w:fldCharType="end"/>
      </w:r>
      <w:r>
        <w:rPr>
          <w:rFonts w:hint="eastAsia" w:ascii="仿宋" w:hAnsi="仿宋" w:eastAsia="仿宋" w:cs="仿宋"/>
          <w:color w:val="auto"/>
          <w:szCs w:val="24"/>
          <w:highlight w:val="none"/>
        </w:rPr>
        <w:fldChar w:fldCharType="end"/>
      </w:r>
    </w:p>
    <w:p w14:paraId="13165D09">
      <w:pPr>
        <w:pStyle w:val="19"/>
        <w:tabs>
          <w:tab w:val="right" w:leader="dot" w:pos="9639"/>
          <w:tab w:val="clear" w:pos="8400"/>
        </w:tabs>
      </w:pPr>
      <w:r>
        <w:rPr>
          <w:rFonts w:hint="eastAsia" w:ascii="仿宋" w:hAnsi="仿宋" w:eastAsia="仿宋" w:cs="仿宋"/>
          <w:color w:val="auto"/>
          <w:szCs w:val="24"/>
          <w:highlight w:val="none"/>
        </w:rPr>
        <w:fldChar w:fldCharType="begin"/>
      </w:r>
      <w:r>
        <w:rPr>
          <w:rFonts w:hint="eastAsia" w:ascii="仿宋" w:hAnsi="仿宋" w:eastAsia="仿宋" w:cs="仿宋"/>
          <w:szCs w:val="24"/>
          <w:highlight w:val="none"/>
        </w:rPr>
        <w:instrText xml:space="preserve"> HYPERLINK \l _Toc1801 </w:instrText>
      </w:r>
      <w:r>
        <w:rPr>
          <w:rFonts w:hint="eastAsia" w:ascii="仿宋" w:hAnsi="仿宋" w:eastAsia="仿宋" w:cs="仿宋"/>
          <w:szCs w:val="24"/>
          <w:highlight w:val="none"/>
        </w:rPr>
        <w:fldChar w:fldCharType="separate"/>
      </w:r>
      <w:r>
        <w:rPr>
          <w:rFonts w:hint="eastAsia" w:ascii="仿宋" w:hAnsi="仿宋" w:eastAsia="仿宋" w:cs="仿宋"/>
          <w:kern w:val="2"/>
          <w:szCs w:val="24"/>
          <w:lang w:val="en-US" w:eastAsia="zh-CN" w:bidi="ar-SA"/>
        </w:rPr>
        <w:t>七、联系方式</w:t>
      </w:r>
      <w:r>
        <w:tab/>
      </w:r>
      <w:r>
        <w:fldChar w:fldCharType="begin"/>
      </w:r>
      <w:r>
        <w:instrText xml:space="preserve"> PAGEREF _Toc1801 \h </w:instrText>
      </w:r>
      <w:r>
        <w:fldChar w:fldCharType="separate"/>
      </w:r>
      <w:r>
        <w:t>- 6 -</w:t>
      </w:r>
      <w:r>
        <w:fldChar w:fldCharType="end"/>
      </w:r>
      <w:r>
        <w:rPr>
          <w:rFonts w:hint="eastAsia" w:ascii="仿宋" w:hAnsi="仿宋" w:eastAsia="仿宋" w:cs="仿宋"/>
          <w:color w:val="auto"/>
          <w:szCs w:val="24"/>
          <w:highlight w:val="none"/>
        </w:rPr>
        <w:fldChar w:fldCharType="end"/>
      </w:r>
    </w:p>
    <w:p w14:paraId="675FB181">
      <w:pPr>
        <w:pStyle w:val="18"/>
        <w:tabs>
          <w:tab w:val="right" w:leader="dot" w:pos="9639"/>
          <w:tab w:val="clear" w:pos="1260"/>
          <w:tab w:val="clear" w:pos="1685"/>
          <w:tab w:val="clear" w:pos="8400"/>
        </w:tabs>
      </w:pPr>
      <w:r>
        <w:rPr>
          <w:rFonts w:hint="eastAsia" w:ascii="仿宋" w:hAnsi="仿宋" w:eastAsia="仿宋" w:cs="仿宋"/>
          <w:color w:val="auto"/>
          <w:szCs w:val="24"/>
          <w:highlight w:val="none"/>
        </w:rPr>
        <w:fldChar w:fldCharType="begin"/>
      </w:r>
      <w:r>
        <w:rPr>
          <w:rFonts w:hint="eastAsia" w:ascii="仿宋" w:hAnsi="仿宋" w:eastAsia="仿宋" w:cs="仿宋"/>
          <w:szCs w:val="24"/>
          <w:highlight w:val="none"/>
        </w:rPr>
        <w:instrText xml:space="preserve"> HYPERLINK \l _Toc735 </w:instrText>
      </w:r>
      <w:r>
        <w:rPr>
          <w:rFonts w:hint="eastAsia" w:ascii="仿宋" w:hAnsi="仿宋" w:eastAsia="仿宋" w:cs="仿宋"/>
          <w:szCs w:val="24"/>
          <w:highlight w:val="none"/>
        </w:rPr>
        <w:fldChar w:fldCharType="separate"/>
      </w:r>
      <w:r>
        <w:rPr>
          <w:rFonts w:hint="eastAsia" w:ascii="仿宋" w:hAnsi="仿宋" w:eastAsia="仿宋" w:cs="仿宋"/>
          <w:bCs/>
          <w:szCs w:val="44"/>
          <w:highlight w:val="none"/>
        </w:rPr>
        <w:t>第二篇  项目</w:t>
      </w:r>
      <w:r>
        <w:rPr>
          <w:rFonts w:hint="eastAsia" w:ascii="仿宋" w:hAnsi="仿宋" w:eastAsia="仿宋" w:cs="仿宋"/>
          <w:bCs/>
          <w:szCs w:val="44"/>
          <w:highlight w:val="none"/>
          <w:lang w:val="en-US" w:eastAsia="zh-CN"/>
        </w:rPr>
        <w:t>服务</w:t>
      </w:r>
      <w:r>
        <w:rPr>
          <w:rFonts w:hint="eastAsia" w:ascii="仿宋" w:hAnsi="仿宋" w:eastAsia="仿宋" w:cs="仿宋"/>
          <w:bCs/>
          <w:szCs w:val="44"/>
          <w:highlight w:val="none"/>
        </w:rPr>
        <w:t>需求</w:t>
      </w:r>
      <w:r>
        <w:tab/>
      </w:r>
      <w:r>
        <w:fldChar w:fldCharType="begin"/>
      </w:r>
      <w:r>
        <w:instrText xml:space="preserve"> PAGEREF _Toc735 \h </w:instrText>
      </w:r>
      <w:r>
        <w:fldChar w:fldCharType="separate"/>
      </w:r>
      <w:r>
        <w:t>- 8 -</w:t>
      </w:r>
      <w:r>
        <w:fldChar w:fldCharType="end"/>
      </w:r>
      <w:r>
        <w:rPr>
          <w:rFonts w:hint="eastAsia" w:ascii="仿宋" w:hAnsi="仿宋" w:eastAsia="仿宋" w:cs="仿宋"/>
          <w:color w:val="auto"/>
          <w:szCs w:val="24"/>
          <w:highlight w:val="none"/>
        </w:rPr>
        <w:fldChar w:fldCharType="end"/>
      </w:r>
    </w:p>
    <w:p w14:paraId="6E8CC4CA">
      <w:pPr>
        <w:pStyle w:val="19"/>
        <w:tabs>
          <w:tab w:val="right" w:leader="dot" w:pos="9639"/>
          <w:tab w:val="clear" w:pos="8400"/>
        </w:tabs>
      </w:pPr>
      <w:r>
        <w:rPr>
          <w:rFonts w:hint="eastAsia" w:ascii="仿宋" w:hAnsi="仿宋" w:eastAsia="仿宋" w:cs="仿宋"/>
          <w:color w:val="auto"/>
          <w:szCs w:val="24"/>
          <w:highlight w:val="none"/>
        </w:rPr>
        <w:fldChar w:fldCharType="begin"/>
      </w:r>
      <w:r>
        <w:rPr>
          <w:rFonts w:hint="eastAsia" w:ascii="仿宋" w:hAnsi="仿宋" w:eastAsia="仿宋" w:cs="仿宋"/>
          <w:szCs w:val="24"/>
          <w:highlight w:val="none"/>
        </w:rPr>
        <w:instrText xml:space="preserve"> HYPERLINK \l _Toc477 </w:instrText>
      </w:r>
      <w:r>
        <w:rPr>
          <w:rFonts w:hint="eastAsia" w:ascii="仿宋" w:hAnsi="仿宋" w:eastAsia="仿宋" w:cs="仿宋"/>
          <w:szCs w:val="24"/>
          <w:highlight w:val="none"/>
        </w:rPr>
        <w:fldChar w:fldCharType="separate"/>
      </w:r>
      <w:r>
        <w:rPr>
          <w:rFonts w:hint="eastAsia" w:ascii="仿宋" w:hAnsi="仿宋" w:eastAsia="仿宋" w:cs="仿宋"/>
          <w:kern w:val="2"/>
          <w:szCs w:val="24"/>
          <w:lang w:val="en-US" w:eastAsia="zh-CN" w:bidi="ar-SA"/>
        </w:rPr>
        <w:t>一、项目一览表</w:t>
      </w:r>
      <w:r>
        <w:tab/>
      </w:r>
      <w:r>
        <w:fldChar w:fldCharType="begin"/>
      </w:r>
      <w:r>
        <w:instrText xml:space="preserve"> PAGEREF _Toc477 \h </w:instrText>
      </w:r>
      <w:r>
        <w:fldChar w:fldCharType="separate"/>
      </w:r>
      <w:r>
        <w:t>- 8 -</w:t>
      </w:r>
      <w:r>
        <w:fldChar w:fldCharType="end"/>
      </w:r>
      <w:r>
        <w:rPr>
          <w:rFonts w:hint="eastAsia" w:ascii="仿宋" w:hAnsi="仿宋" w:eastAsia="仿宋" w:cs="仿宋"/>
          <w:color w:val="auto"/>
          <w:szCs w:val="24"/>
          <w:highlight w:val="none"/>
        </w:rPr>
        <w:fldChar w:fldCharType="end"/>
      </w:r>
    </w:p>
    <w:p w14:paraId="0A75AED6">
      <w:pPr>
        <w:pStyle w:val="19"/>
        <w:tabs>
          <w:tab w:val="right" w:leader="dot" w:pos="9639"/>
          <w:tab w:val="clear" w:pos="8400"/>
        </w:tabs>
      </w:pPr>
      <w:r>
        <w:rPr>
          <w:rFonts w:hint="eastAsia" w:ascii="仿宋" w:hAnsi="仿宋" w:eastAsia="仿宋" w:cs="仿宋"/>
          <w:color w:val="auto"/>
          <w:szCs w:val="24"/>
          <w:highlight w:val="none"/>
        </w:rPr>
        <w:fldChar w:fldCharType="begin"/>
      </w:r>
      <w:r>
        <w:rPr>
          <w:rFonts w:hint="eastAsia" w:ascii="仿宋" w:hAnsi="仿宋" w:eastAsia="仿宋" w:cs="仿宋"/>
          <w:szCs w:val="24"/>
          <w:highlight w:val="none"/>
        </w:rPr>
        <w:instrText xml:space="preserve"> HYPERLINK \l _Toc18965 </w:instrText>
      </w:r>
      <w:r>
        <w:rPr>
          <w:rFonts w:hint="eastAsia" w:ascii="仿宋" w:hAnsi="仿宋" w:eastAsia="仿宋" w:cs="仿宋"/>
          <w:szCs w:val="24"/>
          <w:highlight w:val="none"/>
        </w:rPr>
        <w:fldChar w:fldCharType="separate"/>
      </w:r>
      <w:r>
        <w:rPr>
          <w:rFonts w:hint="eastAsia" w:ascii="仿宋" w:hAnsi="仿宋" w:eastAsia="仿宋" w:cs="仿宋"/>
          <w:kern w:val="2"/>
          <w:szCs w:val="24"/>
          <w:lang w:val="en-US" w:eastAsia="zh-CN" w:bidi="ar-SA"/>
        </w:rPr>
        <w:t>二、项目服务内容及要求</w:t>
      </w:r>
      <w:r>
        <w:tab/>
      </w:r>
      <w:r>
        <w:fldChar w:fldCharType="begin"/>
      </w:r>
      <w:r>
        <w:instrText xml:space="preserve"> PAGEREF _Toc18965 \h </w:instrText>
      </w:r>
      <w:r>
        <w:fldChar w:fldCharType="separate"/>
      </w:r>
      <w:r>
        <w:t>- 8 -</w:t>
      </w:r>
      <w:r>
        <w:fldChar w:fldCharType="end"/>
      </w:r>
      <w:r>
        <w:rPr>
          <w:rFonts w:hint="eastAsia" w:ascii="仿宋" w:hAnsi="仿宋" w:eastAsia="仿宋" w:cs="仿宋"/>
          <w:color w:val="auto"/>
          <w:szCs w:val="24"/>
          <w:highlight w:val="none"/>
        </w:rPr>
        <w:fldChar w:fldCharType="end"/>
      </w:r>
    </w:p>
    <w:p w14:paraId="07DB884A">
      <w:pPr>
        <w:pStyle w:val="18"/>
        <w:tabs>
          <w:tab w:val="right" w:leader="dot" w:pos="9639"/>
          <w:tab w:val="clear" w:pos="1260"/>
          <w:tab w:val="clear" w:pos="1685"/>
          <w:tab w:val="clear" w:pos="8400"/>
        </w:tabs>
      </w:pPr>
      <w:r>
        <w:rPr>
          <w:rFonts w:hint="eastAsia" w:ascii="仿宋" w:hAnsi="仿宋" w:eastAsia="仿宋" w:cs="仿宋"/>
          <w:color w:val="auto"/>
          <w:szCs w:val="24"/>
          <w:highlight w:val="none"/>
        </w:rPr>
        <w:fldChar w:fldCharType="begin"/>
      </w:r>
      <w:r>
        <w:rPr>
          <w:rFonts w:hint="eastAsia" w:ascii="仿宋" w:hAnsi="仿宋" w:eastAsia="仿宋" w:cs="仿宋"/>
          <w:szCs w:val="24"/>
          <w:highlight w:val="none"/>
        </w:rPr>
        <w:instrText xml:space="preserve"> HYPERLINK \l _Toc3015 </w:instrText>
      </w:r>
      <w:r>
        <w:rPr>
          <w:rFonts w:hint="eastAsia" w:ascii="仿宋" w:hAnsi="仿宋" w:eastAsia="仿宋" w:cs="仿宋"/>
          <w:szCs w:val="24"/>
          <w:highlight w:val="none"/>
        </w:rPr>
        <w:fldChar w:fldCharType="separate"/>
      </w:r>
      <w:r>
        <w:rPr>
          <w:rFonts w:hint="eastAsia" w:ascii="仿宋" w:hAnsi="仿宋" w:eastAsia="仿宋" w:cs="仿宋"/>
          <w:bCs/>
          <w:szCs w:val="44"/>
          <w:highlight w:val="none"/>
        </w:rPr>
        <w:t>第三篇 项目商务需求</w:t>
      </w:r>
      <w:r>
        <w:tab/>
      </w:r>
      <w:r>
        <w:fldChar w:fldCharType="begin"/>
      </w:r>
      <w:r>
        <w:instrText xml:space="preserve"> PAGEREF _Toc3015 \h </w:instrText>
      </w:r>
      <w:r>
        <w:fldChar w:fldCharType="separate"/>
      </w:r>
      <w:r>
        <w:t>- 14 -</w:t>
      </w:r>
      <w:r>
        <w:fldChar w:fldCharType="end"/>
      </w:r>
      <w:r>
        <w:rPr>
          <w:rFonts w:hint="eastAsia" w:ascii="仿宋" w:hAnsi="仿宋" w:eastAsia="仿宋" w:cs="仿宋"/>
          <w:color w:val="auto"/>
          <w:szCs w:val="24"/>
          <w:highlight w:val="none"/>
        </w:rPr>
        <w:fldChar w:fldCharType="end"/>
      </w:r>
    </w:p>
    <w:p w14:paraId="763C2B19">
      <w:pPr>
        <w:pStyle w:val="19"/>
        <w:tabs>
          <w:tab w:val="right" w:leader="dot" w:pos="9639"/>
          <w:tab w:val="clear" w:pos="8400"/>
        </w:tabs>
      </w:pPr>
      <w:r>
        <w:rPr>
          <w:rFonts w:hint="eastAsia" w:ascii="仿宋" w:hAnsi="仿宋" w:eastAsia="仿宋" w:cs="仿宋"/>
          <w:color w:val="auto"/>
          <w:szCs w:val="24"/>
          <w:highlight w:val="none"/>
        </w:rPr>
        <w:fldChar w:fldCharType="begin"/>
      </w:r>
      <w:r>
        <w:rPr>
          <w:rFonts w:hint="eastAsia" w:ascii="仿宋" w:hAnsi="仿宋" w:eastAsia="仿宋" w:cs="仿宋"/>
          <w:szCs w:val="24"/>
          <w:highlight w:val="none"/>
        </w:rPr>
        <w:instrText xml:space="preserve"> HYPERLINK \l _Toc31185 </w:instrText>
      </w:r>
      <w:r>
        <w:rPr>
          <w:rFonts w:hint="eastAsia" w:ascii="仿宋" w:hAnsi="仿宋" w:eastAsia="仿宋" w:cs="仿宋"/>
          <w:szCs w:val="24"/>
          <w:highlight w:val="none"/>
        </w:rPr>
        <w:fldChar w:fldCharType="separate"/>
      </w:r>
      <w:r>
        <w:rPr>
          <w:rFonts w:hint="eastAsia" w:ascii="仿宋" w:hAnsi="仿宋" w:eastAsia="仿宋" w:cs="仿宋"/>
          <w:kern w:val="2"/>
          <w:szCs w:val="24"/>
          <w:lang w:val="en-US" w:eastAsia="zh-CN" w:bidi="ar-SA"/>
        </w:rPr>
        <w:t>一、服务时间、地点及验收方式</w:t>
      </w:r>
      <w:r>
        <w:tab/>
      </w:r>
      <w:r>
        <w:fldChar w:fldCharType="begin"/>
      </w:r>
      <w:r>
        <w:instrText xml:space="preserve"> PAGEREF _Toc31185 \h </w:instrText>
      </w:r>
      <w:r>
        <w:fldChar w:fldCharType="separate"/>
      </w:r>
      <w:r>
        <w:t>- 14 -</w:t>
      </w:r>
      <w:r>
        <w:fldChar w:fldCharType="end"/>
      </w:r>
      <w:r>
        <w:rPr>
          <w:rFonts w:hint="eastAsia" w:ascii="仿宋" w:hAnsi="仿宋" w:eastAsia="仿宋" w:cs="仿宋"/>
          <w:color w:val="auto"/>
          <w:szCs w:val="24"/>
          <w:highlight w:val="none"/>
        </w:rPr>
        <w:fldChar w:fldCharType="end"/>
      </w:r>
    </w:p>
    <w:p w14:paraId="3A7F3C29">
      <w:pPr>
        <w:pStyle w:val="19"/>
        <w:tabs>
          <w:tab w:val="right" w:leader="dot" w:pos="9639"/>
          <w:tab w:val="clear" w:pos="8400"/>
        </w:tabs>
      </w:pPr>
      <w:r>
        <w:rPr>
          <w:rFonts w:hint="eastAsia" w:ascii="仿宋" w:hAnsi="仿宋" w:eastAsia="仿宋" w:cs="仿宋"/>
          <w:color w:val="auto"/>
          <w:szCs w:val="24"/>
          <w:highlight w:val="none"/>
        </w:rPr>
        <w:fldChar w:fldCharType="begin"/>
      </w:r>
      <w:r>
        <w:rPr>
          <w:rFonts w:hint="eastAsia" w:ascii="仿宋" w:hAnsi="仿宋" w:eastAsia="仿宋" w:cs="仿宋"/>
          <w:szCs w:val="24"/>
          <w:highlight w:val="none"/>
        </w:rPr>
        <w:instrText xml:space="preserve"> HYPERLINK \l _Toc20419 </w:instrText>
      </w:r>
      <w:r>
        <w:rPr>
          <w:rFonts w:hint="eastAsia" w:ascii="仿宋" w:hAnsi="仿宋" w:eastAsia="仿宋" w:cs="仿宋"/>
          <w:szCs w:val="24"/>
          <w:highlight w:val="none"/>
        </w:rPr>
        <w:fldChar w:fldCharType="separate"/>
      </w:r>
      <w:r>
        <w:rPr>
          <w:rFonts w:hint="eastAsia" w:ascii="仿宋" w:hAnsi="仿宋" w:eastAsia="仿宋" w:cs="仿宋"/>
          <w:kern w:val="2"/>
          <w:szCs w:val="24"/>
          <w:lang w:val="en-US" w:eastAsia="zh-CN" w:bidi="ar-SA"/>
        </w:rPr>
        <w:t>二、质量保证及售后服务</w:t>
      </w:r>
      <w:r>
        <w:tab/>
      </w:r>
      <w:r>
        <w:fldChar w:fldCharType="begin"/>
      </w:r>
      <w:r>
        <w:instrText xml:space="preserve"> PAGEREF _Toc20419 \h </w:instrText>
      </w:r>
      <w:r>
        <w:fldChar w:fldCharType="separate"/>
      </w:r>
      <w:r>
        <w:t>- 14 -</w:t>
      </w:r>
      <w:r>
        <w:fldChar w:fldCharType="end"/>
      </w:r>
      <w:r>
        <w:rPr>
          <w:rFonts w:hint="eastAsia" w:ascii="仿宋" w:hAnsi="仿宋" w:eastAsia="仿宋" w:cs="仿宋"/>
          <w:color w:val="auto"/>
          <w:szCs w:val="24"/>
          <w:highlight w:val="none"/>
        </w:rPr>
        <w:fldChar w:fldCharType="end"/>
      </w:r>
    </w:p>
    <w:p w14:paraId="1CF06CB6">
      <w:pPr>
        <w:pStyle w:val="19"/>
        <w:tabs>
          <w:tab w:val="right" w:leader="dot" w:pos="9639"/>
          <w:tab w:val="clear" w:pos="8400"/>
        </w:tabs>
      </w:pPr>
      <w:r>
        <w:rPr>
          <w:rFonts w:hint="eastAsia" w:ascii="仿宋" w:hAnsi="仿宋" w:eastAsia="仿宋" w:cs="仿宋"/>
          <w:color w:val="auto"/>
          <w:szCs w:val="24"/>
          <w:highlight w:val="none"/>
        </w:rPr>
        <w:fldChar w:fldCharType="begin"/>
      </w:r>
      <w:r>
        <w:rPr>
          <w:rFonts w:hint="eastAsia" w:ascii="仿宋" w:hAnsi="仿宋" w:eastAsia="仿宋" w:cs="仿宋"/>
          <w:szCs w:val="24"/>
          <w:highlight w:val="none"/>
        </w:rPr>
        <w:instrText xml:space="preserve"> HYPERLINK \l _Toc363 </w:instrText>
      </w:r>
      <w:r>
        <w:rPr>
          <w:rFonts w:hint="eastAsia" w:ascii="仿宋" w:hAnsi="仿宋" w:eastAsia="仿宋" w:cs="仿宋"/>
          <w:szCs w:val="24"/>
          <w:highlight w:val="none"/>
        </w:rPr>
        <w:fldChar w:fldCharType="separate"/>
      </w:r>
      <w:r>
        <w:rPr>
          <w:rFonts w:hint="eastAsia" w:ascii="仿宋" w:hAnsi="仿宋" w:eastAsia="仿宋" w:cs="仿宋"/>
          <w:kern w:val="2"/>
          <w:szCs w:val="24"/>
          <w:lang w:val="en-US" w:eastAsia="zh-CN" w:bidi="ar-SA"/>
        </w:rPr>
        <w:t>三、报价要求</w:t>
      </w:r>
      <w:r>
        <w:tab/>
      </w:r>
      <w:r>
        <w:fldChar w:fldCharType="begin"/>
      </w:r>
      <w:r>
        <w:instrText xml:space="preserve"> PAGEREF _Toc363 \h </w:instrText>
      </w:r>
      <w:r>
        <w:fldChar w:fldCharType="separate"/>
      </w:r>
      <w:r>
        <w:t>- 14 -</w:t>
      </w:r>
      <w:r>
        <w:fldChar w:fldCharType="end"/>
      </w:r>
      <w:r>
        <w:rPr>
          <w:rFonts w:hint="eastAsia" w:ascii="仿宋" w:hAnsi="仿宋" w:eastAsia="仿宋" w:cs="仿宋"/>
          <w:color w:val="auto"/>
          <w:szCs w:val="24"/>
          <w:highlight w:val="none"/>
        </w:rPr>
        <w:fldChar w:fldCharType="end"/>
      </w:r>
    </w:p>
    <w:p w14:paraId="505BB7D0">
      <w:pPr>
        <w:pStyle w:val="19"/>
        <w:tabs>
          <w:tab w:val="right" w:leader="dot" w:pos="9639"/>
          <w:tab w:val="clear" w:pos="8400"/>
        </w:tabs>
      </w:pPr>
      <w:r>
        <w:rPr>
          <w:rFonts w:hint="eastAsia" w:ascii="仿宋" w:hAnsi="仿宋" w:eastAsia="仿宋" w:cs="仿宋"/>
          <w:color w:val="auto"/>
          <w:szCs w:val="24"/>
          <w:highlight w:val="none"/>
        </w:rPr>
        <w:fldChar w:fldCharType="begin"/>
      </w:r>
      <w:r>
        <w:rPr>
          <w:rFonts w:hint="eastAsia" w:ascii="仿宋" w:hAnsi="仿宋" w:eastAsia="仿宋" w:cs="仿宋"/>
          <w:szCs w:val="24"/>
          <w:highlight w:val="none"/>
        </w:rPr>
        <w:instrText xml:space="preserve"> HYPERLINK \l _Toc22252 </w:instrText>
      </w:r>
      <w:r>
        <w:rPr>
          <w:rFonts w:hint="eastAsia" w:ascii="仿宋" w:hAnsi="仿宋" w:eastAsia="仿宋" w:cs="仿宋"/>
          <w:szCs w:val="24"/>
          <w:highlight w:val="none"/>
        </w:rPr>
        <w:fldChar w:fldCharType="separate"/>
      </w:r>
      <w:r>
        <w:rPr>
          <w:rFonts w:hint="eastAsia" w:ascii="仿宋" w:hAnsi="仿宋" w:eastAsia="仿宋" w:cs="仿宋"/>
          <w:kern w:val="2"/>
          <w:szCs w:val="24"/>
          <w:lang w:val="en-US" w:eastAsia="zh-CN" w:bidi="ar-SA"/>
        </w:rPr>
        <w:t>四、付款方式</w:t>
      </w:r>
      <w:r>
        <w:tab/>
      </w:r>
      <w:r>
        <w:fldChar w:fldCharType="begin"/>
      </w:r>
      <w:r>
        <w:instrText xml:space="preserve"> PAGEREF _Toc22252 \h </w:instrText>
      </w:r>
      <w:r>
        <w:fldChar w:fldCharType="separate"/>
      </w:r>
      <w:r>
        <w:t>- 14 -</w:t>
      </w:r>
      <w:r>
        <w:fldChar w:fldCharType="end"/>
      </w:r>
      <w:r>
        <w:rPr>
          <w:rFonts w:hint="eastAsia" w:ascii="仿宋" w:hAnsi="仿宋" w:eastAsia="仿宋" w:cs="仿宋"/>
          <w:color w:val="auto"/>
          <w:szCs w:val="24"/>
          <w:highlight w:val="none"/>
        </w:rPr>
        <w:fldChar w:fldCharType="end"/>
      </w:r>
    </w:p>
    <w:p w14:paraId="31691868">
      <w:pPr>
        <w:pStyle w:val="19"/>
        <w:tabs>
          <w:tab w:val="right" w:leader="dot" w:pos="9639"/>
          <w:tab w:val="clear" w:pos="8400"/>
        </w:tabs>
      </w:pPr>
      <w:r>
        <w:rPr>
          <w:rFonts w:hint="eastAsia" w:ascii="仿宋" w:hAnsi="仿宋" w:eastAsia="仿宋" w:cs="仿宋"/>
          <w:color w:val="auto"/>
          <w:szCs w:val="24"/>
          <w:highlight w:val="none"/>
        </w:rPr>
        <w:fldChar w:fldCharType="begin"/>
      </w:r>
      <w:r>
        <w:rPr>
          <w:rFonts w:hint="eastAsia" w:ascii="仿宋" w:hAnsi="仿宋" w:eastAsia="仿宋" w:cs="仿宋"/>
          <w:szCs w:val="24"/>
          <w:highlight w:val="none"/>
        </w:rPr>
        <w:instrText xml:space="preserve"> HYPERLINK \l _Toc18473 </w:instrText>
      </w:r>
      <w:r>
        <w:rPr>
          <w:rFonts w:hint="eastAsia" w:ascii="仿宋" w:hAnsi="仿宋" w:eastAsia="仿宋" w:cs="仿宋"/>
          <w:szCs w:val="24"/>
          <w:highlight w:val="none"/>
        </w:rPr>
        <w:fldChar w:fldCharType="separate"/>
      </w:r>
      <w:r>
        <w:rPr>
          <w:rFonts w:hint="eastAsia" w:ascii="仿宋" w:hAnsi="仿宋" w:eastAsia="仿宋" w:cs="仿宋"/>
          <w:kern w:val="2"/>
          <w:szCs w:val="24"/>
          <w:lang w:val="en-US" w:eastAsia="zh-CN" w:bidi="ar-SA"/>
        </w:rPr>
        <w:t>五、履约保证金</w:t>
      </w:r>
      <w:r>
        <w:tab/>
      </w:r>
      <w:r>
        <w:fldChar w:fldCharType="begin"/>
      </w:r>
      <w:r>
        <w:instrText xml:space="preserve"> PAGEREF _Toc18473 \h </w:instrText>
      </w:r>
      <w:r>
        <w:fldChar w:fldCharType="separate"/>
      </w:r>
      <w:r>
        <w:t>- 15 -</w:t>
      </w:r>
      <w:r>
        <w:fldChar w:fldCharType="end"/>
      </w:r>
      <w:r>
        <w:rPr>
          <w:rFonts w:hint="eastAsia" w:ascii="仿宋" w:hAnsi="仿宋" w:eastAsia="仿宋" w:cs="仿宋"/>
          <w:color w:val="auto"/>
          <w:szCs w:val="24"/>
          <w:highlight w:val="none"/>
        </w:rPr>
        <w:fldChar w:fldCharType="end"/>
      </w:r>
    </w:p>
    <w:p w14:paraId="0C938909">
      <w:pPr>
        <w:pStyle w:val="19"/>
        <w:tabs>
          <w:tab w:val="right" w:leader="dot" w:pos="9639"/>
          <w:tab w:val="clear" w:pos="8400"/>
        </w:tabs>
      </w:pPr>
      <w:r>
        <w:rPr>
          <w:rFonts w:hint="eastAsia" w:ascii="仿宋" w:hAnsi="仿宋" w:eastAsia="仿宋" w:cs="仿宋"/>
          <w:color w:val="auto"/>
          <w:szCs w:val="24"/>
          <w:highlight w:val="none"/>
        </w:rPr>
        <w:fldChar w:fldCharType="begin"/>
      </w:r>
      <w:r>
        <w:rPr>
          <w:rFonts w:hint="eastAsia" w:ascii="仿宋" w:hAnsi="仿宋" w:eastAsia="仿宋" w:cs="仿宋"/>
          <w:szCs w:val="24"/>
          <w:highlight w:val="none"/>
        </w:rPr>
        <w:instrText xml:space="preserve"> HYPERLINK \l _Toc19363 </w:instrText>
      </w:r>
      <w:r>
        <w:rPr>
          <w:rFonts w:hint="eastAsia" w:ascii="仿宋" w:hAnsi="仿宋" w:eastAsia="仿宋" w:cs="仿宋"/>
          <w:szCs w:val="24"/>
          <w:highlight w:val="none"/>
        </w:rPr>
        <w:fldChar w:fldCharType="separate"/>
      </w:r>
      <w:r>
        <w:rPr>
          <w:rFonts w:hint="eastAsia" w:ascii="仿宋" w:hAnsi="仿宋" w:eastAsia="仿宋" w:cs="仿宋"/>
          <w:kern w:val="2"/>
          <w:szCs w:val="24"/>
          <w:lang w:val="en-US" w:eastAsia="zh-CN" w:bidi="ar-SA"/>
        </w:rPr>
        <w:t>六、其他</w:t>
      </w:r>
      <w:r>
        <w:tab/>
      </w:r>
      <w:r>
        <w:fldChar w:fldCharType="begin"/>
      </w:r>
      <w:r>
        <w:instrText xml:space="preserve"> PAGEREF _Toc19363 \h </w:instrText>
      </w:r>
      <w:r>
        <w:fldChar w:fldCharType="separate"/>
      </w:r>
      <w:r>
        <w:t>- 15 -</w:t>
      </w:r>
      <w:r>
        <w:fldChar w:fldCharType="end"/>
      </w:r>
      <w:r>
        <w:rPr>
          <w:rFonts w:hint="eastAsia" w:ascii="仿宋" w:hAnsi="仿宋" w:eastAsia="仿宋" w:cs="仿宋"/>
          <w:color w:val="auto"/>
          <w:szCs w:val="24"/>
          <w:highlight w:val="none"/>
        </w:rPr>
        <w:fldChar w:fldCharType="end"/>
      </w:r>
    </w:p>
    <w:p w14:paraId="0E9C03D7">
      <w:pPr>
        <w:pStyle w:val="18"/>
        <w:tabs>
          <w:tab w:val="right" w:leader="dot" w:pos="9639"/>
          <w:tab w:val="clear" w:pos="1260"/>
          <w:tab w:val="clear" w:pos="1685"/>
          <w:tab w:val="clear" w:pos="8400"/>
        </w:tabs>
      </w:pPr>
      <w:r>
        <w:rPr>
          <w:rFonts w:hint="eastAsia" w:ascii="仿宋" w:hAnsi="仿宋" w:eastAsia="仿宋" w:cs="仿宋"/>
          <w:color w:val="auto"/>
          <w:szCs w:val="24"/>
          <w:highlight w:val="none"/>
        </w:rPr>
        <w:fldChar w:fldCharType="begin"/>
      </w:r>
      <w:r>
        <w:rPr>
          <w:rFonts w:hint="eastAsia" w:ascii="仿宋" w:hAnsi="仿宋" w:eastAsia="仿宋" w:cs="仿宋"/>
          <w:szCs w:val="24"/>
          <w:highlight w:val="none"/>
        </w:rPr>
        <w:instrText xml:space="preserve"> HYPERLINK \l _Toc30296 </w:instrText>
      </w:r>
      <w:r>
        <w:rPr>
          <w:rFonts w:hint="eastAsia" w:ascii="仿宋" w:hAnsi="仿宋" w:eastAsia="仿宋" w:cs="仿宋"/>
          <w:szCs w:val="24"/>
          <w:highlight w:val="none"/>
        </w:rPr>
        <w:fldChar w:fldCharType="separate"/>
      </w:r>
      <w:r>
        <w:rPr>
          <w:rFonts w:hint="eastAsia" w:ascii="仿宋" w:hAnsi="仿宋" w:eastAsia="仿宋" w:cs="仿宋"/>
          <w:bCs/>
          <w:szCs w:val="44"/>
        </w:rPr>
        <w:t xml:space="preserve">第四篇 </w:t>
      </w:r>
      <w:r>
        <w:rPr>
          <w:rFonts w:hint="eastAsia" w:ascii="仿宋" w:hAnsi="仿宋" w:eastAsia="仿宋" w:cs="仿宋"/>
          <w:bCs/>
          <w:szCs w:val="44"/>
          <w:highlight w:val="none"/>
        </w:rPr>
        <w:t>比选程序及方法、评审标准、无效响应和采购终止</w:t>
      </w:r>
      <w:r>
        <w:tab/>
      </w:r>
      <w:r>
        <w:fldChar w:fldCharType="begin"/>
      </w:r>
      <w:r>
        <w:instrText xml:space="preserve"> PAGEREF _Toc30296 \h </w:instrText>
      </w:r>
      <w:r>
        <w:fldChar w:fldCharType="separate"/>
      </w:r>
      <w:r>
        <w:t>- 16 -</w:t>
      </w:r>
      <w:r>
        <w:fldChar w:fldCharType="end"/>
      </w:r>
      <w:r>
        <w:rPr>
          <w:rFonts w:hint="eastAsia" w:ascii="仿宋" w:hAnsi="仿宋" w:eastAsia="仿宋" w:cs="仿宋"/>
          <w:color w:val="auto"/>
          <w:szCs w:val="24"/>
          <w:highlight w:val="none"/>
        </w:rPr>
        <w:fldChar w:fldCharType="end"/>
      </w:r>
    </w:p>
    <w:p w14:paraId="76157A99">
      <w:pPr>
        <w:pStyle w:val="19"/>
        <w:tabs>
          <w:tab w:val="right" w:leader="dot" w:pos="9639"/>
          <w:tab w:val="clear" w:pos="8400"/>
        </w:tabs>
      </w:pPr>
      <w:r>
        <w:rPr>
          <w:rFonts w:hint="eastAsia" w:ascii="仿宋" w:hAnsi="仿宋" w:eastAsia="仿宋" w:cs="仿宋"/>
          <w:color w:val="auto"/>
          <w:szCs w:val="24"/>
          <w:highlight w:val="none"/>
        </w:rPr>
        <w:fldChar w:fldCharType="begin"/>
      </w:r>
      <w:r>
        <w:rPr>
          <w:rFonts w:hint="eastAsia" w:ascii="仿宋" w:hAnsi="仿宋" w:eastAsia="仿宋" w:cs="仿宋"/>
          <w:szCs w:val="24"/>
          <w:highlight w:val="none"/>
        </w:rPr>
        <w:instrText xml:space="preserve"> HYPERLINK \l _Toc26303 </w:instrText>
      </w:r>
      <w:r>
        <w:rPr>
          <w:rFonts w:hint="eastAsia" w:ascii="仿宋" w:hAnsi="仿宋" w:eastAsia="仿宋" w:cs="仿宋"/>
          <w:szCs w:val="24"/>
          <w:highlight w:val="none"/>
        </w:rPr>
        <w:fldChar w:fldCharType="separate"/>
      </w:r>
      <w:r>
        <w:rPr>
          <w:rFonts w:hint="eastAsia" w:ascii="仿宋" w:hAnsi="仿宋" w:eastAsia="仿宋" w:cs="仿宋"/>
          <w:bCs/>
          <w:szCs w:val="24"/>
          <w:highlight w:val="none"/>
          <w:lang w:val="en-US" w:eastAsia="zh-CN"/>
        </w:rPr>
        <w:t>一、比选程序及方法</w:t>
      </w:r>
      <w:r>
        <w:tab/>
      </w:r>
      <w:r>
        <w:fldChar w:fldCharType="begin"/>
      </w:r>
      <w:r>
        <w:instrText xml:space="preserve"> PAGEREF _Toc26303 \h </w:instrText>
      </w:r>
      <w:r>
        <w:fldChar w:fldCharType="separate"/>
      </w:r>
      <w:r>
        <w:t>- 16 -</w:t>
      </w:r>
      <w:r>
        <w:fldChar w:fldCharType="end"/>
      </w:r>
      <w:r>
        <w:rPr>
          <w:rFonts w:hint="eastAsia" w:ascii="仿宋" w:hAnsi="仿宋" w:eastAsia="仿宋" w:cs="仿宋"/>
          <w:color w:val="auto"/>
          <w:szCs w:val="24"/>
          <w:highlight w:val="none"/>
        </w:rPr>
        <w:fldChar w:fldCharType="end"/>
      </w:r>
    </w:p>
    <w:p w14:paraId="5B337176">
      <w:pPr>
        <w:pStyle w:val="19"/>
        <w:tabs>
          <w:tab w:val="right" w:leader="dot" w:pos="9639"/>
          <w:tab w:val="clear" w:pos="8400"/>
        </w:tabs>
      </w:pPr>
      <w:r>
        <w:rPr>
          <w:rFonts w:hint="eastAsia" w:ascii="仿宋" w:hAnsi="仿宋" w:eastAsia="仿宋" w:cs="仿宋"/>
          <w:color w:val="auto"/>
          <w:szCs w:val="24"/>
          <w:highlight w:val="none"/>
        </w:rPr>
        <w:fldChar w:fldCharType="begin"/>
      </w:r>
      <w:r>
        <w:rPr>
          <w:rFonts w:hint="eastAsia" w:ascii="仿宋" w:hAnsi="仿宋" w:eastAsia="仿宋" w:cs="仿宋"/>
          <w:szCs w:val="24"/>
          <w:highlight w:val="none"/>
        </w:rPr>
        <w:instrText xml:space="preserve"> HYPERLINK \l _Toc21542 </w:instrText>
      </w:r>
      <w:r>
        <w:rPr>
          <w:rFonts w:hint="eastAsia" w:ascii="仿宋" w:hAnsi="仿宋" w:eastAsia="仿宋" w:cs="仿宋"/>
          <w:szCs w:val="24"/>
          <w:highlight w:val="none"/>
        </w:rPr>
        <w:fldChar w:fldCharType="separate"/>
      </w:r>
      <w:r>
        <w:rPr>
          <w:rFonts w:hint="eastAsia" w:ascii="仿宋" w:hAnsi="仿宋" w:eastAsia="仿宋" w:cs="仿宋"/>
          <w:bCs/>
          <w:szCs w:val="24"/>
          <w:highlight w:val="none"/>
          <w:lang w:val="en-US" w:eastAsia="zh-CN"/>
        </w:rPr>
        <w:t>二、评审标准</w:t>
      </w:r>
      <w:r>
        <w:tab/>
      </w:r>
      <w:r>
        <w:fldChar w:fldCharType="begin"/>
      </w:r>
      <w:r>
        <w:instrText xml:space="preserve"> PAGEREF _Toc21542 \h </w:instrText>
      </w:r>
      <w:r>
        <w:fldChar w:fldCharType="separate"/>
      </w:r>
      <w:r>
        <w:t>- 18 -</w:t>
      </w:r>
      <w:r>
        <w:fldChar w:fldCharType="end"/>
      </w:r>
      <w:r>
        <w:rPr>
          <w:rFonts w:hint="eastAsia" w:ascii="仿宋" w:hAnsi="仿宋" w:eastAsia="仿宋" w:cs="仿宋"/>
          <w:color w:val="auto"/>
          <w:szCs w:val="24"/>
          <w:highlight w:val="none"/>
        </w:rPr>
        <w:fldChar w:fldCharType="end"/>
      </w:r>
    </w:p>
    <w:p w14:paraId="45062F8E">
      <w:pPr>
        <w:pStyle w:val="19"/>
        <w:tabs>
          <w:tab w:val="right" w:leader="dot" w:pos="9639"/>
          <w:tab w:val="clear" w:pos="8400"/>
        </w:tabs>
      </w:pPr>
      <w:r>
        <w:rPr>
          <w:rFonts w:hint="eastAsia" w:ascii="仿宋" w:hAnsi="仿宋" w:eastAsia="仿宋" w:cs="仿宋"/>
          <w:color w:val="auto"/>
          <w:szCs w:val="24"/>
          <w:highlight w:val="none"/>
        </w:rPr>
        <w:fldChar w:fldCharType="begin"/>
      </w:r>
      <w:r>
        <w:rPr>
          <w:rFonts w:hint="eastAsia" w:ascii="仿宋" w:hAnsi="仿宋" w:eastAsia="仿宋" w:cs="仿宋"/>
          <w:szCs w:val="24"/>
          <w:highlight w:val="none"/>
        </w:rPr>
        <w:instrText xml:space="preserve"> HYPERLINK \l _Toc24458 </w:instrText>
      </w:r>
      <w:r>
        <w:rPr>
          <w:rFonts w:hint="eastAsia" w:ascii="仿宋" w:hAnsi="仿宋" w:eastAsia="仿宋" w:cs="仿宋"/>
          <w:szCs w:val="24"/>
          <w:highlight w:val="none"/>
        </w:rPr>
        <w:fldChar w:fldCharType="separate"/>
      </w:r>
      <w:r>
        <w:rPr>
          <w:rFonts w:hint="eastAsia" w:ascii="仿宋" w:hAnsi="仿宋" w:eastAsia="仿宋" w:cs="仿宋"/>
          <w:kern w:val="2"/>
          <w:szCs w:val="24"/>
          <w:lang w:val="en-US" w:eastAsia="zh-CN" w:bidi="ar-SA"/>
        </w:rPr>
        <w:t>三、无效投标条款</w:t>
      </w:r>
      <w:r>
        <w:tab/>
      </w:r>
      <w:r>
        <w:fldChar w:fldCharType="begin"/>
      </w:r>
      <w:r>
        <w:instrText xml:space="preserve"> PAGEREF _Toc24458 \h </w:instrText>
      </w:r>
      <w:r>
        <w:fldChar w:fldCharType="separate"/>
      </w:r>
      <w:r>
        <w:t>- 20 -</w:t>
      </w:r>
      <w:r>
        <w:fldChar w:fldCharType="end"/>
      </w:r>
      <w:r>
        <w:rPr>
          <w:rFonts w:hint="eastAsia" w:ascii="仿宋" w:hAnsi="仿宋" w:eastAsia="仿宋" w:cs="仿宋"/>
          <w:color w:val="auto"/>
          <w:szCs w:val="24"/>
          <w:highlight w:val="none"/>
        </w:rPr>
        <w:fldChar w:fldCharType="end"/>
      </w:r>
    </w:p>
    <w:p w14:paraId="7E9D870D">
      <w:pPr>
        <w:pStyle w:val="19"/>
        <w:tabs>
          <w:tab w:val="right" w:leader="dot" w:pos="9639"/>
          <w:tab w:val="clear" w:pos="8400"/>
        </w:tabs>
      </w:pPr>
      <w:r>
        <w:rPr>
          <w:rFonts w:hint="eastAsia" w:ascii="仿宋" w:hAnsi="仿宋" w:eastAsia="仿宋" w:cs="仿宋"/>
          <w:color w:val="auto"/>
          <w:szCs w:val="24"/>
          <w:highlight w:val="none"/>
        </w:rPr>
        <w:fldChar w:fldCharType="begin"/>
      </w:r>
      <w:r>
        <w:rPr>
          <w:rFonts w:hint="eastAsia" w:ascii="仿宋" w:hAnsi="仿宋" w:eastAsia="仿宋" w:cs="仿宋"/>
          <w:szCs w:val="24"/>
          <w:highlight w:val="none"/>
        </w:rPr>
        <w:instrText xml:space="preserve"> HYPERLINK \l _Toc21572 </w:instrText>
      </w:r>
      <w:r>
        <w:rPr>
          <w:rFonts w:hint="eastAsia" w:ascii="仿宋" w:hAnsi="仿宋" w:eastAsia="仿宋" w:cs="仿宋"/>
          <w:szCs w:val="24"/>
          <w:highlight w:val="none"/>
        </w:rPr>
        <w:fldChar w:fldCharType="separate"/>
      </w:r>
      <w:r>
        <w:rPr>
          <w:rFonts w:hint="eastAsia" w:ascii="仿宋" w:hAnsi="仿宋" w:eastAsia="仿宋" w:cs="仿宋"/>
          <w:kern w:val="2"/>
          <w:szCs w:val="24"/>
          <w:lang w:val="en-US" w:eastAsia="zh-CN" w:bidi="ar-SA"/>
        </w:rPr>
        <w:t>四、废标条款</w:t>
      </w:r>
      <w:r>
        <w:tab/>
      </w:r>
      <w:r>
        <w:fldChar w:fldCharType="begin"/>
      </w:r>
      <w:r>
        <w:instrText xml:space="preserve"> PAGEREF _Toc21572 \h </w:instrText>
      </w:r>
      <w:r>
        <w:fldChar w:fldCharType="separate"/>
      </w:r>
      <w:r>
        <w:t>- 20 -</w:t>
      </w:r>
      <w:r>
        <w:fldChar w:fldCharType="end"/>
      </w:r>
      <w:r>
        <w:rPr>
          <w:rFonts w:hint="eastAsia" w:ascii="仿宋" w:hAnsi="仿宋" w:eastAsia="仿宋" w:cs="仿宋"/>
          <w:color w:val="auto"/>
          <w:szCs w:val="24"/>
          <w:highlight w:val="none"/>
        </w:rPr>
        <w:fldChar w:fldCharType="end"/>
      </w:r>
    </w:p>
    <w:p w14:paraId="05E15445">
      <w:pPr>
        <w:pStyle w:val="18"/>
        <w:tabs>
          <w:tab w:val="right" w:leader="dot" w:pos="9639"/>
          <w:tab w:val="clear" w:pos="1260"/>
          <w:tab w:val="clear" w:pos="1685"/>
          <w:tab w:val="clear" w:pos="8400"/>
        </w:tabs>
      </w:pPr>
      <w:r>
        <w:rPr>
          <w:rFonts w:hint="eastAsia" w:ascii="仿宋" w:hAnsi="仿宋" w:eastAsia="仿宋" w:cs="仿宋"/>
          <w:color w:val="auto"/>
          <w:szCs w:val="24"/>
          <w:highlight w:val="none"/>
        </w:rPr>
        <w:fldChar w:fldCharType="begin"/>
      </w:r>
      <w:r>
        <w:rPr>
          <w:rFonts w:hint="eastAsia" w:ascii="仿宋" w:hAnsi="仿宋" w:eastAsia="仿宋" w:cs="仿宋"/>
          <w:szCs w:val="24"/>
          <w:highlight w:val="none"/>
        </w:rPr>
        <w:instrText xml:space="preserve"> HYPERLINK \l _Toc15445 </w:instrText>
      </w:r>
      <w:r>
        <w:rPr>
          <w:rFonts w:hint="eastAsia" w:ascii="仿宋" w:hAnsi="仿宋" w:eastAsia="仿宋" w:cs="仿宋"/>
          <w:szCs w:val="24"/>
          <w:highlight w:val="none"/>
        </w:rPr>
        <w:fldChar w:fldCharType="separate"/>
      </w:r>
      <w:r>
        <w:rPr>
          <w:rFonts w:hint="eastAsia" w:ascii="仿宋" w:hAnsi="仿宋" w:eastAsia="仿宋" w:cs="仿宋"/>
          <w:bCs/>
          <w:szCs w:val="44"/>
          <w:highlight w:val="none"/>
        </w:rPr>
        <w:t xml:space="preserve">第五篇  </w:t>
      </w:r>
      <w:r>
        <w:rPr>
          <w:rFonts w:hint="eastAsia" w:ascii="仿宋" w:hAnsi="仿宋" w:eastAsia="仿宋" w:cs="仿宋"/>
          <w:bCs/>
          <w:szCs w:val="44"/>
          <w:highlight w:val="none"/>
          <w:lang w:eastAsia="zh-CN"/>
        </w:rPr>
        <w:t>供应商</w:t>
      </w:r>
      <w:r>
        <w:rPr>
          <w:rFonts w:hint="eastAsia" w:ascii="仿宋" w:hAnsi="仿宋" w:eastAsia="仿宋" w:cs="仿宋"/>
          <w:bCs/>
          <w:szCs w:val="44"/>
          <w:highlight w:val="none"/>
        </w:rPr>
        <w:t>须知</w:t>
      </w:r>
      <w:r>
        <w:tab/>
      </w:r>
      <w:r>
        <w:fldChar w:fldCharType="begin"/>
      </w:r>
      <w:r>
        <w:instrText xml:space="preserve"> PAGEREF _Toc15445 \h </w:instrText>
      </w:r>
      <w:r>
        <w:fldChar w:fldCharType="separate"/>
      </w:r>
      <w:r>
        <w:t>- 21 -</w:t>
      </w:r>
      <w:r>
        <w:fldChar w:fldCharType="end"/>
      </w:r>
      <w:r>
        <w:rPr>
          <w:rFonts w:hint="eastAsia" w:ascii="仿宋" w:hAnsi="仿宋" w:eastAsia="仿宋" w:cs="仿宋"/>
          <w:color w:val="auto"/>
          <w:szCs w:val="24"/>
          <w:highlight w:val="none"/>
        </w:rPr>
        <w:fldChar w:fldCharType="end"/>
      </w:r>
    </w:p>
    <w:p w14:paraId="629F011E">
      <w:pPr>
        <w:pStyle w:val="19"/>
        <w:tabs>
          <w:tab w:val="right" w:leader="dot" w:pos="9639"/>
          <w:tab w:val="clear" w:pos="8400"/>
        </w:tabs>
      </w:pPr>
      <w:r>
        <w:rPr>
          <w:rFonts w:hint="eastAsia" w:ascii="仿宋" w:hAnsi="仿宋" w:eastAsia="仿宋" w:cs="仿宋"/>
          <w:color w:val="auto"/>
          <w:szCs w:val="24"/>
          <w:highlight w:val="none"/>
        </w:rPr>
        <w:fldChar w:fldCharType="begin"/>
      </w:r>
      <w:r>
        <w:rPr>
          <w:rFonts w:hint="eastAsia" w:ascii="仿宋" w:hAnsi="仿宋" w:eastAsia="仿宋" w:cs="仿宋"/>
          <w:szCs w:val="24"/>
          <w:highlight w:val="none"/>
        </w:rPr>
        <w:instrText xml:space="preserve"> HYPERLINK \l _Toc20630 </w:instrText>
      </w:r>
      <w:r>
        <w:rPr>
          <w:rFonts w:hint="eastAsia" w:ascii="仿宋" w:hAnsi="仿宋" w:eastAsia="仿宋" w:cs="仿宋"/>
          <w:szCs w:val="24"/>
          <w:highlight w:val="none"/>
        </w:rPr>
        <w:fldChar w:fldCharType="separate"/>
      </w:r>
      <w:r>
        <w:rPr>
          <w:rFonts w:hint="eastAsia" w:ascii="仿宋" w:hAnsi="仿宋" w:eastAsia="仿宋" w:cs="仿宋"/>
          <w:kern w:val="2"/>
          <w:szCs w:val="24"/>
          <w:lang w:val="en-US" w:eastAsia="zh-CN" w:bidi="ar-SA"/>
        </w:rPr>
        <w:t>一、比选费用</w:t>
      </w:r>
      <w:r>
        <w:tab/>
      </w:r>
      <w:r>
        <w:fldChar w:fldCharType="begin"/>
      </w:r>
      <w:r>
        <w:instrText xml:space="preserve"> PAGEREF _Toc20630 \h </w:instrText>
      </w:r>
      <w:r>
        <w:fldChar w:fldCharType="separate"/>
      </w:r>
      <w:r>
        <w:t>- 21 -</w:t>
      </w:r>
      <w:r>
        <w:fldChar w:fldCharType="end"/>
      </w:r>
      <w:r>
        <w:rPr>
          <w:rFonts w:hint="eastAsia" w:ascii="仿宋" w:hAnsi="仿宋" w:eastAsia="仿宋" w:cs="仿宋"/>
          <w:color w:val="auto"/>
          <w:szCs w:val="24"/>
          <w:highlight w:val="none"/>
        </w:rPr>
        <w:fldChar w:fldCharType="end"/>
      </w:r>
    </w:p>
    <w:p w14:paraId="3A4B7B34">
      <w:pPr>
        <w:pStyle w:val="19"/>
        <w:tabs>
          <w:tab w:val="right" w:leader="dot" w:pos="9639"/>
          <w:tab w:val="clear" w:pos="8400"/>
        </w:tabs>
      </w:pPr>
      <w:r>
        <w:rPr>
          <w:rFonts w:hint="eastAsia" w:ascii="仿宋" w:hAnsi="仿宋" w:eastAsia="仿宋" w:cs="仿宋"/>
          <w:color w:val="auto"/>
          <w:szCs w:val="24"/>
          <w:highlight w:val="none"/>
        </w:rPr>
        <w:fldChar w:fldCharType="begin"/>
      </w:r>
      <w:r>
        <w:rPr>
          <w:rFonts w:hint="eastAsia" w:ascii="仿宋" w:hAnsi="仿宋" w:eastAsia="仿宋" w:cs="仿宋"/>
          <w:szCs w:val="24"/>
          <w:highlight w:val="none"/>
        </w:rPr>
        <w:instrText xml:space="preserve"> HYPERLINK \l _Toc4321 </w:instrText>
      </w:r>
      <w:r>
        <w:rPr>
          <w:rFonts w:hint="eastAsia" w:ascii="仿宋" w:hAnsi="仿宋" w:eastAsia="仿宋" w:cs="仿宋"/>
          <w:szCs w:val="24"/>
          <w:highlight w:val="none"/>
        </w:rPr>
        <w:fldChar w:fldCharType="separate"/>
      </w:r>
      <w:r>
        <w:rPr>
          <w:rFonts w:hint="eastAsia" w:ascii="仿宋" w:hAnsi="仿宋" w:eastAsia="仿宋" w:cs="仿宋"/>
          <w:kern w:val="2"/>
          <w:szCs w:val="24"/>
          <w:lang w:val="en-US" w:eastAsia="zh-CN" w:bidi="ar-SA"/>
        </w:rPr>
        <w:t>二、比选文件</w:t>
      </w:r>
      <w:r>
        <w:tab/>
      </w:r>
      <w:r>
        <w:fldChar w:fldCharType="begin"/>
      </w:r>
      <w:r>
        <w:instrText xml:space="preserve"> PAGEREF _Toc4321 \h </w:instrText>
      </w:r>
      <w:r>
        <w:fldChar w:fldCharType="separate"/>
      </w:r>
      <w:r>
        <w:t>- 21 -</w:t>
      </w:r>
      <w:r>
        <w:fldChar w:fldCharType="end"/>
      </w:r>
      <w:r>
        <w:rPr>
          <w:rFonts w:hint="eastAsia" w:ascii="仿宋" w:hAnsi="仿宋" w:eastAsia="仿宋" w:cs="仿宋"/>
          <w:color w:val="auto"/>
          <w:szCs w:val="24"/>
          <w:highlight w:val="none"/>
        </w:rPr>
        <w:fldChar w:fldCharType="end"/>
      </w:r>
    </w:p>
    <w:p w14:paraId="69303C9D">
      <w:pPr>
        <w:pStyle w:val="19"/>
        <w:tabs>
          <w:tab w:val="right" w:leader="dot" w:pos="9639"/>
          <w:tab w:val="clear" w:pos="8400"/>
        </w:tabs>
      </w:pPr>
      <w:r>
        <w:rPr>
          <w:rFonts w:hint="eastAsia" w:ascii="仿宋" w:hAnsi="仿宋" w:eastAsia="仿宋" w:cs="仿宋"/>
          <w:color w:val="auto"/>
          <w:szCs w:val="24"/>
          <w:highlight w:val="none"/>
        </w:rPr>
        <w:fldChar w:fldCharType="begin"/>
      </w:r>
      <w:r>
        <w:rPr>
          <w:rFonts w:hint="eastAsia" w:ascii="仿宋" w:hAnsi="仿宋" w:eastAsia="仿宋" w:cs="仿宋"/>
          <w:szCs w:val="24"/>
          <w:highlight w:val="none"/>
        </w:rPr>
        <w:instrText xml:space="preserve"> HYPERLINK \l _Toc29062 </w:instrText>
      </w:r>
      <w:r>
        <w:rPr>
          <w:rFonts w:hint="eastAsia" w:ascii="仿宋" w:hAnsi="仿宋" w:eastAsia="仿宋" w:cs="仿宋"/>
          <w:szCs w:val="24"/>
          <w:highlight w:val="none"/>
        </w:rPr>
        <w:fldChar w:fldCharType="separate"/>
      </w:r>
      <w:r>
        <w:rPr>
          <w:rFonts w:hint="eastAsia" w:ascii="仿宋" w:hAnsi="仿宋" w:eastAsia="仿宋" w:cs="仿宋"/>
          <w:kern w:val="2"/>
          <w:szCs w:val="24"/>
          <w:lang w:val="en-US" w:eastAsia="zh-CN" w:bidi="ar-SA"/>
        </w:rPr>
        <w:t>三、比选要求</w:t>
      </w:r>
      <w:r>
        <w:tab/>
      </w:r>
      <w:r>
        <w:fldChar w:fldCharType="begin"/>
      </w:r>
      <w:r>
        <w:instrText xml:space="preserve"> PAGEREF _Toc29062 \h </w:instrText>
      </w:r>
      <w:r>
        <w:fldChar w:fldCharType="separate"/>
      </w:r>
      <w:r>
        <w:t>- 21 -</w:t>
      </w:r>
      <w:r>
        <w:fldChar w:fldCharType="end"/>
      </w:r>
      <w:r>
        <w:rPr>
          <w:rFonts w:hint="eastAsia" w:ascii="仿宋" w:hAnsi="仿宋" w:eastAsia="仿宋" w:cs="仿宋"/>
          <w:color w:val="auto"/>
          <w:szCs w:val="24"/>
          <w:highlight w:val="none"/>
        </w:rPr>
        <w:fldChar w:fldCharType="end"/>
      </w:r>
    </w:p>
    <w:p w14:paraId="2C1A8C47">
      <w:pPr>
        <w:pStyle w:val="19"/>
        <w:tabs>
          <w:tab w:val="right" w:leader="dot" w:pos="9639"/>
          <w:tab w:val="clear" w:pos="8400"/>
        </w:tabs>
      </w:pPr>
      <w:r>
        <w:rPr>
          <w:rFonts w:hint="eastAsia" w:ascii="仿宋" w:hAnsi="仿宋" w:eastAsia="仿宋" w:cs="仿宋"/>
          <w:color w:val="auto"/>
          <w:szCs w:val="24"/>
          <w:highlight w:val="none"/>
        </w:rPr>
        <w:fldChar w:fldCharType="begin"/>
      </w:r>
      <w:r>
        <w:rPr>
          <w:rFonts w:hint="eastAsia" w:ascii="仿宋" w:hAnsi="仿宋" w:eastAsia="仿宋" w:cs="仿宋"/>
          <w:szCs w:val="24"/>
          <w:highlight w:val="none"/>
        </w:rPr>
        <w:instrText xml:space="preserve"> HYPERLINK \l _Toc24826 </w:instrText>
      </w:r>
      <w:r>
        <w:rPr>
          <w:rFonts w:hint="eastAsia" w:ascii="仿宋" w:hAnsi="仿宋" w:eastAsia="仿宋" w:cs="仿宋"/>
          <w:szCs w:val="24"/>
          <w:highlight w:val="none"/>
        </w:rPr>
        <w:fldChar w:fldCharType="separate"/>
      </w:r>
      <w:r>
        <w:rPr>
          <w:rFonts w:hint="eastAsia" w:ascii="仿宋" w:hAnsi="仿宋" w:eastAsia="仿宋" w:cs="仿宋"/>
          <w:kern w:val="2"/>
          <w:szCs w:val="24"/>
          <w:lang w:val="en-US" w:eastAsia="zh-CN" w:bidi="ar-SA"/>
        </w:rPr>
        <w:t>四、成交供应商的确认和变更</w:t>
      </w:r>
      <w:r>
        <w:tab/>
      </w:r>
      <w:r>
        <w:fldChar w:fldCharType="begin"/>
      </w:r>
      <w:r>
        <w:instrText xml:space="preserve"> PAGEREF _Toc24826 \h </w:instrText>
      </w:r>
      <w:r>
        <w:fldChar w:fldCharType="separate"/>
      </w:r>
      <w:r>
        <w:t>- 22 -</w:t>
      </w:r>
      <w:r>
        <w:fldChar w:fldCharType="end"/>
      </w:r>
      <w:r>
        <w:rPr>
          <w:rFonts w:hint="eastAsia" w:ascii="仿宋" w:hAnsi="仿宋" w:eastAsia="仿宋" w:cs="仿宋"/>
          <w:color w:val="auto"/>
          <w:szCs w:val="24"/>
          <w:highlight w:val="none"/>
        </w:rPr>
        <w:fldChar w:fldCharType="end"/>
      </w:r>
    </w:p>
    <w:p w14:paraId="4AA7AFE9">
      <w:pPr>
        <w:pStyle w:val="19"/>
        <w:tabs>
          <w:tab w:val="right" w:leader="dot" w:pos="9639"/>
          <w:tab w:val="clear" w:pos="8400"/>
        </w:tabs>
      </w:pPr>
      <w:r>
        <w:rPr>
          <w:rFonts w:hint="eastAsia" w:ascii="仿宋" w:hAnsi="仿宋" w:eastAsia="仿宋" w:cs="仿宋"/>
          <w:color w:val="auto"/>
          <w:szCs w:val="24"/>
          <w:highlight w:val="none"/>
        </w:rPr>
        <w:fldChar w:fldCharType="begin"/>
      </w:r>
      <w:r>
        <w:rPr>
          <w:rFonts w:hint="eastAsia" w:ascii="仿宋" w:hAnsi="仿宋" w:eastAsia="仿宋" w:cs="仿宋"/>
          <w:szCs w:val="24"/>
          <w:highlight w:val="none"/>
        </w:rPr>
        <w:instrText xml:space="preserve"> HYPERLINK \l _Toc15527 </w:instrText>
      </w:r>
      <w:r>
        <w:rPr>
          <w:rFonts w:hint="eastAsia" w:ascii="仿宋" w:hAnsi="仿宋" w:eastAsia="仿宋" w:cs="仿宋"/>
          <w:szCs w:val="24"/>
          <w:highlight w:val="none"/>
        </w:rPr>
        <w:fldChar w:fldCharType="separate"/>
      </w:r>
      <w:r>
        <w:rPr>
          <w:rFonts w:hint="eastAsia" w:ascii="仿宋" w:hAnsi="仿宋" w:eastAsia="仿宋" w:cs="仿宋"/>
          <w:kern w:val="2"/>
          <w:szCs w:val="24"/>
          <w:lang w:val="en-US" w:eastAsia="zh-CN" w:bidi="ar-SA"/>
        </w:rPr>
        <w:t>五、中标（成交）通知</w:t>
      </w:r>
      <w:r>
        <w:tab/>
      </w:r>
      <w:r>
        <w:fldChar w:fldCharType="begin"/>
      </w:r>
      <w:r>
        <w:instrText xml:space="preserve"> PAGEREF _Toc15527 \h </w:instrText>
      </w:r>
      <w:r>
        <w:fldChar w:fldCharType="separate"/>
      </w:r>
      <w:r>
        <w:t>- 23 -</w:t>
      </w:r>
      <w:r>
        <w:fldChar w:fldCharType="end"/>
      </w:r>
      <w:r>
        <w:rPr>
          <w:rFonts w:hint="eastAsia" w:ascii="仿宋" w:hAnsi="仿宋" w:eastAsia="仿宋" w:cs="仿宋"/>
          <w:color w:val="auto"/>
          <w:szCs w:val="24"/>
          <w:highlight w:val="none"/>
        </w:rPr>
        <w:fldChar w:fldCharType="end"/>
      </w:r>
    </w:p>
    <w:p w14:paraId="04309DF7">
      <w:pPr>
        <w:pStyle w:val="19"/>
        <w:tabs>
          <w:tab w:val="right" w:leader="dot" w:pos="9639"/>
          <w:tab w:val="clear" w:pos="8400"/>
        </w:tabs>
      </w:pPr>
      <w:r>
        <w:rPr>
          <w:rFonts w:hint="eastAsia" w:ascii="仿宋" w:hAnsi="仿宋" w:eastAsia="仿宋" w:cs="仿宋"/>
          <w:color w:val="auto"/>
          <w:szCs w:val="24"/>
          <w:highlight w:val="none"/>
        </w:rPr>
        <w:fldChar w:fldCharType="begin"/>
      </w:r>
      <w:r>
        <w:rPr>
          <w:rFonts w:hint="eastAsia" w:ascii="仿宋" w:hAnsi="仿宋" w:eastAsia="仿宋" w:cs="仿宋"/>
          <w:szCs w:val="24"/>
          <w:highlight w:val="none"/>
        </w:rPr>
        <w:instrText xml:space="preserve"> HYPERLINK \l _Toc20720 </w:instrText>
      </w:r>
      <w:r>
        <w:rPr>
          <w:rFonts w:hint="eastAsia" w:ascii="仿宋" w:hAnsi="仿宋" w:eastAsia="仿宋" w:cs="仿宋"/>
          <w:szCs w:val="24"/>
          <w:highlight w:val="none"/>
        </w:rPr>
        <w:fldChar w:fldCharType="separate"/>
      </w:r>
      <w:r>
        <w:rPr>
          <w:rFonts w:hint="eastAsia" w:ascii="仿宋" w:hAnsi="仿宋" w:eastAsia="仿宋" w:cs="仿宋"/>
          <w:kern w:val="2"/>
          <w:szCs w:val="24"/>
          <w:lang w:val="en-US" w:eastAsia="zh-CN" w:bidi="ar-SA"/>
        </w:rPr>
        <w:t>六、关于质疑和投诉</w:t>
      </w:r>
      <w:r>
        <w:tab/>
      </w:r>
      <w:r>
        <w:fldChar w:fldCharType="begin"/>
      </w:r>
      <w:r>
        <w:instrText xml:space="preserve"> PAGEREF _Toc20720 \h </w:instrText>
      </w:r>
      <w:r>
        <w:fldChar w:fldCharType="separate"/>
      </w:r>
      <w:r>
        <w:t>- 23 -</w:t>
      </w:r>
      <w:r>
        <w:fldChar w:fldCharType="end"/>
      </w:r>
      <w:r>
        <w:rPr>
          <w:rFonts w:hint="eastAsia" w:ascii="仿宋" w:hAnsi="仿宋" w:eastAsia="仿宋" w:cs="仿宋"/>
          <w:color w:val="auto"/>
          <w:szCs w:val="24"/>
          <w:highlight w:val="none"/>
        </w:rPr>
        <w:fldChar w:fldCharType="end"/>
      </w:r>
    </w:p>
    <w:p w14:paraId="04301FEE">
      <w:pPr>
        <w:pStyle w:val="19"/>
        <w:tabs>
          <w:tab w:val="right" w:leader="dot" w:pos="9639"/>
          <w:tab w:val="clear" w:pos="8400"/>
        </w:tabs>
      </w:pPr>
      <w:r>
        <w:rPr>
          <w:rFonts w:hint="eastAsia" w:ascii="仿宋" w:hAnsi="仿宋" w:eastAsia="仿宋" w:cs="仿宋"/>
          <w:color w:val="auto"/>
          <w:szCs w:val="24"/>
          <w:highlight w:val="none"/>
        </w:rPr>
        <w:fldChar w:fldCharType="begin"/>
      </w:r>
      <w:r>
        <w:rPr>
          <w:rFonts w:hint="eastAsia" w:ascii="仿宋" w:hAnsi="仿宋" w:eastAsia="仿宋" w:cs="仿宋"/>
          <w:szCs w:val="24"/>
          <w:highlight w:val="none"/>
        </w:rPr>
        <w:instrText xml:space="preserve"> HYPERLINK \l _Toc28119 </w:instrText>
      </w:r>
      <w:r>
        <w:rPr>
          <w:rFonts w:hint="eastAsia" w:ascii="仿宋" w:hAnsi="仿宋" w:eastAsia="仿宋" w:cs="仿宋"/>
          <w:szCs w:val="24"/>
          <w:highlight w:val="none"/>
        </w:rPr>
        <w:fldChar w:fldCharType="separate"/>
      </w:r>
      <w:r>
        <w:rPr>
          <w:rFonts w:hint="eastAsia" w:ascii="仿宋" w:hAnsi="仿宋" w:eastAsia="仿宋" w:cs="仿宋"/>
          <w:kern w:val="2"/>
          <w:szCs w:val="24"/>
          <w:lang w:val="en-US" w:eastAsia="zh-CN" w:bidi="ar-SA"/>
        </w:rPr>
        <w:t>七、采购代理服务费</w:t>
      </w:r>
      <w:r>
        <w:tab/>
      </w:r>
      <w:r>
        <w:fldChar w:fldCharType="begin"/>
      </w:r>
      <w:r>
        <w:instrText xml:space="preserve"> PAGEREF _Toc28119 \h </w:instrText>
      </w:r>
      <w:r>
        <w:fldChar w:fldCharType="separate"/>
      </w:r>
      <w:r>
        <w:t>- 24 -</w:t>
      </w:r>
      <w:r>
        <w:fldChar w:fldCharType="end"/>
      </w:r>
      <w:r>
        <w:rPr>
          <w:rFonts w:hint="eastAsia" w:ascii="仿宋" w:hAnsi="仿宋" w:eastAsia="仿宋" w:cs="仿宋"/>
          <w:color w:val="auto"/>
          <w:szCs w:val="24"/>
          <w:highlight w:val="none"/>
        </w:rPr>
        <w:fldChar w:fldCharType="end"/>
      </w:r>
    </w:p>
    <w:p w14:paraId="09CD3C73">
      <w:pPr>
        <w:pStyle w:val="19"/>
        <w:tabs>
          <w:tab w:val="right" w:leader="dot" w:pos="9639"/>
          <w:tab w:val="clear" w:pos="8400"/>
        </w:tabs>
      </w:pPr>
      <w:r>
        <w:rPr>
          <w:rFonts w:hint="eastAsia" w:ascii="仿宋" w:hAnsi="仿宋" w:eastAsia="仿宋" w:cs="仿宋"/>
          <w:color w:val="auto"/>
          <w:szCs w:val="24"/>
          <w:highlight w:val="none"/>
        </w:rPr>
        <w:fldChar w:fldCharType="begin"/>
      </w:r>
      <w:r>
        <w:rPr>
          <w:rFonts w:hint="eastAsia" w:ascii="仿宋" w:hAnsi="仿宋" w:eastAsia="仿宋" w:cs="仿宋"/>
          <w:szCs w:val="24"/>
          <w:highlight w:val="none"/>
        </w:rPr>
        <w:instrText xml:space="preserve"> HYPERLINK \l _Toc23251 </w:instrText>
      </w:r>
      <w:r>
        <w:rPr>
          <w:rFonts w:hint="eastAsia" w:ascii="仿宋" w:hAnsi="仿宋" w:eastAsia="仿宋" w:cs="仿宋"/>
          <w:szCs w:val="24"/>
          <w:highlight w:val="none"/>
        </w:rPr>
        <w:fldChar w:fldCharType="separate"/>
      </w:r>
      <w:r>
        <w:rPr>
          <w:rFonts w:hint="eastAsia" w:ascii="仿宋" w:hAnsi="仿宋" w:eastAsia="仿宋" w:cs="仿宋"/>
          <w:kern w:val="2"/>
          <w:szCs w:val="24"/>
          <w:lang w:val="en-US" w:eastAsia="zh-CN" w:bidi="ar-SA"/>
        </w:rPr>
        <w:t>八、签订合同</w:t>
      </w:r>
      <w:r>
        <w:tab/>
      </w:r>
      <w:r>
        <w:fldChar w:fldCharType="begin"/>
      </w:r>
      <w:r>
        <w:instrText xml:space="preserve"> PAGEREF _Toc23251 \h </w:instrText>
      </w:r>
      <w:r>
        <w:fldChar w:fldCharType="separate"/>
      </w:r>
      <w:r>
        <w:t>- 24 -</w:t>
      </w:r>
      <w:r>
        <w:fldChar w:fldCharType="end"/>
      </w:r>
      <w:r>
        <w:rPr>
          <w:rFonts w:hint="eastAsia" w:ascii="仿宋" w:hAnsi="仿宋" w:eastAsia="仿宋" w:cs="仿宋"/>
          <w:color w:val="auto"/>
          <w:szCs w:val="24"/>
          <w:highlight w:val="none"/>
        </w:rPr>
        <w:fldChar w:fldCharType="end"/>
      </w:r>
    </w:p>
    <w:p w14:paraId="06742A8A">
      <w:pPr>
        <w:pStyle w:val="18"/>
        <w:tabs>
          <w:tab w:val="right" w:leader="dot" w:pos="9639"/>
          <w:tab w:val="clear" w:pos="1260"/>
          <w:tab w:val="clear" w:pos="1685"/>
          <w:tab w:val="clear" w:pos="8400"/>
        </w:tabs>
      </w:pPr>
      <w:r>
        <w:rPr>
          <w:rFonts w:hint="eastAsia" w:ascii="仿宋" w:hAnsi="仿宋" w:eastAsia="仿宋" w:cs="仿宋"/>
          <w:color w:val="auto"/>
          <w:szCs w:val="24"/>
          <w:highlight w:val="none"/>
        </w:rPr>
        <w:fldChar w:fldCharType="begin"/>
      </w:r>
      <w:r>
        <w:rPr>
          <w:rFonts w:hint="eastAsia" w:ascii="仿宋" w:hAnsi="仿宋" w:eastAsia="仿宋" w:cs="仿宋"/>
          <w:szCs w:val="24"/>
          <w:highlight w:val="none"/>
        </w:rPr>
        <w:instrText xml:space="preserve"> HYPERLINK \l _Toc5627 </w:instrText>
      </w:r>
      <w:r>
        <w:rPr>
          <w:rFonts w:hint="eastAsia" w:ascii="仿宋" w:hAnsi="仿宋" w:eastAsia="仿宋" w:cs="仿宋"/>
          <w:szCs w:val="24"/>
          <w:highlight w:val="none"/>
        </w:rPr>
        <w:fldChar w:fldCharType="separate"/>
      </w:r>
      <w:r>
        <w:rPr>
          <w:rFonts w:hint="eastAsia" w:ascii="仿宋" w:hAnsi="仿宋" w:eastAsia="仿宋" w:cs="仿宋"/>
          <w:bCs/>
          <w:szCs w:val="44"/>
          <w:highlight w:val="none"/>
          <w:lang w:val="en-US" w:eastAsia="zh-CN"/>
        </w:rPr>
        <w:t>第六篇  采购合同</w:t>
      </w:r>
      <w:r>
        <w:tab/>
      </w:r>
      <w:r>
        <w:fldChar w:fldCharType="begin"/>
      </w:r>
      <w:r>
        <w:instrText xml:space="preserve"> PAGEREF _Toc5627 \h </w:instrText>
      </w:r>
      <w:r>
        <w:fldChar w:fldCharType="separate"/>
      </w:r>
      <w:r>
        <w:t>- 26 -</w:t>
      </w:r>
      <w:r>
        <w:fldChar w:fldCharType="end"/>
      </w:r>
      <w:r>
        <w:rPr>
          <w:rFonts w:hint="eastAsia" w:ascii="仿宋" w:hAnsi="仿宋" w:eastAsia="仿宋" w:cs="仿宋"/>
          <w:color w:val="auto"/>
          <w:szCs w:val="24"/>
          <w:highlight w:val="none"/>
        </w:rPr>
        <w:fldChar w:fldCharType="end"/>
      </w:r>
    </w:p>
    <w:p w14:paraId="7105E08D">
      <w:pPr>
        <w:pStyle w:val="18"/>
        <w:tabs>
          <w:tab w:val="right" w:leader="dot" w:pos="9639"/>
          <w:tab w:val="clear" w:pos="1260"/>
          <w:tab w:val="clear" w:pos="1685"/>
          <w:tab w:val="clear" w:pos="8400"/>
        </w:tabs>
      </w:pPr>
      <w:r>
        <w:rPr>
          <w:rFonts w:hint="eastAsia" w:ascii="仿宋" w:hAnsi="仿宋" w:eastAsia="仿宋" w:cs="仿宋"/>
          <w:color w:val="auto"/>
          <w:szCs w:val="24"/>
          <w:highlight w:val="none"/>
        </w:rPr>
        <w:fldChar w:fldCharType="begin"/>
      </w:r>
      <w:r>
        <w:rPr>
          <w:rFonts w:hint="eastAsia" w:ascii="仿宋" w:hAnsi="仿宋" w:eastAsia="仿宋" w:cs="仿宋"/>
          <w:szCs w:val="24"/>
          <w:highlight w:val="none"/>
        </w:rPr>
        <w:instrText xml:space="preserve"> HYPERLINK \l _Toc13984 </w:instrText>
      </w:r>
      <w:r>
        <w:rPr>
          <w:rFonts w:hint="eastAsia" w:ascii="仿宋" w:hAnsi="仿宋" w:eastAsia="仿宋" w:cs="仿宋"/>
          <w:szCs w:val="24"/>
          <w:highlight w:val="none"/>
        </w:rPr>
        <w:fldChar w:fldCharType="separate"/>
      </w:r>
      <w:r>
        <w:rPr>
          <w:rFonts w:hint="eastAsia" w:ascii="仿宋" w:hAnsi="仿宋" w:eastAsia="仿宋" w:cs="仿宋"/>
          <w:bCs/>
          <w:szCs w:val="44"/>
          <w:highlight w:val="none"/>
        </w:rPr>
        <w:t xml:space="preserve">第七篇  </w:t>
      </w:r>
      <w:r>
        <w:rPr>
          <w:rFonts w:hint="eastAsia" w:ascii="仿宋" w:hAnsi="仿宋" w:eastAsia="仿宋" w:cs="仿宋"/>
          <w:bCs/>
          <w:szCs w:val="44"/>
          <w:highlight w:val="none"/>
          <w:lang w:eastAsia="zh-CN"/>
        </w:rPr>
        <w:t>响应文件</w:t>
      </w:r>
      <w:r>
        <w:rPr>
          <w:rFonts w:hint="eastAsia" w:ascii="仿宋" w:hAnsi="仿宋" w:eastAsia="仿宋" w:cs="仿宋"/>
          <w:bCs/>
          <w:szCs w:val="44"/>
          <w:highlight w:val="none"/>
        </w:rPr>
        <w:t>编制要求</w:t>
      </w:r>
      <w:r>
        <w:tab/>
      </w:r>
      <w:r>
        <w:fldChar w:fldCharType="begin"/>
      </w:r>
      <w:r>
        <w:instrText xml:space="preserve"> PAGEREF _Toc13984 \h </w:instrText>
      </w:r>
      <w:r>
        <w:fldChar w:fldCharType="separate"/>
      </w:r>
      <w:r>
        <w:t>- 27 -</w:t>
      </w:r>
      <w:r>
        <w:fldChar w:fldCharType="end"/>
      </w:r>
      <w:r>
        <w:rPr>
          <w:rFonts w:hint="eastAsia" w:ascii="仿宋" w:hAnsi="仿宋" w:eastAsia="仿宋" w:cs="仿宋"/>
          <w:color w:val="auto"/>
          <w:szCs w:val="24"/>
          <w:highlight w:val="none"/>
        </w:rPr>
        <w:fldChar w:fldCharType="end"/>
      </w:r>
    </w:p>
    <w:p w14:paraId="33734105">
      <w:pPr>
        <w:pStyle w:val="19"/>
        <w:tabs>
          <w:tab w:val="right" w:leader="dot" w:pos="9639"/>
          <w:tab w:val="clear" w:pos="8400"/>
        </w:tabs>
      </w:pPr>
      <w:r>
        <w:rPr>
          <w:rFonts w:hint="eastAsia" w:ascii="仿宋" w:hAnsi="仿宋" w:eastAsia="仿宋" w:cs="仿宋"/>
          <w:color w:val="auto"/>
          <w:szCs w:val="24"/>
          <w:highlight w:val="none"/>
        </w:rPr>
        <w:fldChar w:fldCharType="begin"/>
      </w:r>
      <w:r>
        <w:rPr>
          <w:rFonts w:hint="eastAsia" w:ascii="仿宋" w:hAnsi="仿宋" w:eastAsia="仿宋" w:cs="仿宋"/>
          <w:szCs w:val="24"/>
          <w:highlight w:val="none"/>
        </w:rPr>
        <w:instrText xml:space="preserve"> HYPERLINK \l _Toc5382 </w:instrText>
      </w:r>
      <w:r>
        <w:rPr>
          <w:rFonts w:hint="eastAsia" w:ascii="仿宋" w:hAnsi="仿宋" w:eastAsia="仿宋" w:cs="仿宋"/>
          <w:szCs w:val="24"/>
          <w:highlight w:val="none"/>
        </w:rPr>
        <w:fldChar w:fldCharType="separate"/>
      </w:r>
      <w:r>
        <w:rPr>
          <w:rFonts w:hint="eastAsia" w:ascii="仿宋" w:hAnsi="仿宋" w:eastAsia="仿宋" w:cs="仿宋"/>
          <w:kern w:val="2"/>
          <w:szCs w:val="24"/>
          <w:lang w:val="en-US" w:eastAsia="zh-CN" w:bidi="ar-SA"/>
        </w:rPr>
        <w:t>一、经济部分</w:t>
      </w:r>
      <w:r>
        <w:tab/>
      </w:r>
      <w:r>
        <w:fldChar w:fldCharType="begin"/>
      </w:r>
      <w:r>
        <w:instrText xml:space="preserve"> PAGEREF _Toc5382 \h </w:instrText>
      </w:r>
      <w:r>
        <w:fldChar w:fldCharType="separate"/>
      </w:r>
      <w:r>
        <w:t>- 29 -</w:t>
      </w:r>
      <w:r>
        <w:fldChar w:fldCharType="end"/>
      </w:r>
      <w:r>
        <w:rPr>
          <w:rFonts w:hint="eastAsia" w:ascii="仿宋" w:hAnsi="仿宋" w:eastAsia="仿宋" w:cs="仿宋"/>
          <w:color w:val="auto"/>
          <w:szCs w:val="24"/>
          <w:highlight w:val="none"/>
        </w:rPr>
        <w:fldChar w:fldCharType="end"/>
      </w:r>
    </w:p>
    <w:p w14:paraId="5237D479">
      <w:pPr>
        <w:pStyle w:val="19"/>
        <w:tabs>
          <w:tab w:val="right" w:leader="dot" w:pos="9639"/>
          <w:tab w:val="clear" w:pos="8400"/>
        </w:tabs>
      </w:pPr>
      <w:r>
        <w:rPr>
          <w:rFonts w:hint="eastAsia" w:ascii="仿宋" w:hAnsi="仿宋" w:eastAsia="仿宋" w:cs="仿宋"/>
          <w:color w:val="auto"/>
          <w:szCs w:val="24"/>
          <w:highlight w:val="none"/>
        </w:rPr>
        <w:fldChar w:fldCharType="begin"/>
      </w:r>
      <w:r>
        <w:rPr>
          <w:rFonts w:hint="eastAsia" w:ascii="仿宋" w:hAnsi="仿宋" w:eastAsia="仿宋" w:cs="仿宋"/>
          <w:szCs w:val="24"/>
          <w:highlight w:val="none"/>
        </w:rPr>
        <w:instrText xml:space="preserve"> HYPERLINK \l _Toc21697 </w:instrText>
      </w:r>
      <w:r>
        <w:rPr>
          <w:rFonts w:hint="eastAsia" w:ascii="仿宋" w:hAnsi="仿宋" w:eastAsia="仿宋" w:cs="仿宋"/>
          <w:szCs w:val="24"/>
          <w:highlight w:val="none"/>
        </w:rPr>
        <w:fldChar w:fldCharType="separate"/>
      </w:r>
      <w:r>
        <w:rPr>
          <w:rFonts w:hint="eastAsia" w:ascii="仿宋" w:hAnsi="仿宋" w:eastAsia="仿宋" w:cs="仿宋"/>
          <w:kern w:val="2"/>
          <w:szCs w:val="24"/>
          <w:lang w:val="en-US" w:eastAsia="zh-CN" w:bidi="ar-SA"/>
        </w:rPr>
        <w:t>二、服务部分</w:t>
      </w:r>
      <w:r>
        <w:tab/>
      </w:r>
      <w:r>
        <w:fldChar w:fldCharType="begin"/>
      </w:r>
      <w:r>
        <w:instrText xml:space="preserve"> PAGEREF _Toc21697 \h </w:instrText>
      </w:r>
      <w:r>
        <w:fldChar w:fldCharType="separate"/>
      </w:r>
      <w:r>
        <w:t>- 30 -</w:t>
      </w:r>
      <w:r>
        <w:fldChar w:fldCharType="end"/>
      </w:r>
      <w:r>
        <w:rPr>
          <w:rFonts w:hint="eastAsia" w:ascii="仿宋" w:hAnsi="仿宋" w:eastAsia="仿宋" w:cs="仿宋"/>
          <w:color w:val="auto"/>
          <w:szCs w:val="24"/>
          <w:highlight w:val="none"/>
        </w:rPr>
        <w:fldChar w:fldCharType="end"/>
      </w:r>
    </w:p>
    <w:p w14:paraId="10DB5ADF">
      <w:pPr>
        <w:pStyle w:val="19"/>
        <w:tabs>
          <w:tab w:val="right" w:leader="dot" w:pos="9639"/>
          <w:tab w:val="clear" w:pos="8400"/>
        </w:tabs>
      </w:pPr>
      <w:r>
        <w:rPr>
          <w:rFonts w:hint="eastAsia" w:ascii="仿宋" w:hAnsi="仿宋" w:eastAsia="仿宋" w:cs="仿宋"/>
          <w:color w:val="auto"/>
          <w:szCs w:val="24"/>
          <w:highlight w:val="none"/>
        </w:rPr>
        <w:fldChar w:fldCharType="begin"/>
      </w:r>
      <w:r>
        <w:rPr>
          <w:rFonts w:hint="eastAsia" w:ascii="仿宋" w:hAnsi="仿宋" w:eastAsia="仿宋" w:cs="仿宋"/>
          <w:szCs w:val="24"/>
          <w:highlight w:val="none"/>
        </w:rPr>
        <w:instrText xml:space="preserve"> HYPERLINK \l _Toc28922 </w:instrText>
      </w:r>
      <w:r>
        <w:rPr>
          <w:rFonts w:hint="eastAsia" w:ascii="仿宋" w:hAnsi="仿宋" w:eastAsia="仿宋" w:cs="仿宋"/>
          <w:szCs w:val="24"/>
          <w:highlight w:val="none"/>
        </w:rPr>
        <w:fldChar w:fldCharType="separate"/>
      </w:r>
      <w:r>
        <w:rPr>
          <w:rFonts w:hint="eastAsia" w:ascii="仿宋" w:hAnsi="仿宋" w:eastAsia="仿宋" w:cs="仿宋"/>
          <w:kern w:val="2"/>
          <w:szCs w:val="24"/>
          <w:lang w:val="en-US" w:eastAsia="zh-CN" w:bidi="ar-SA"/>
        </w:rPr>
        <w:t>三、商务部分</w:t>
      </w:r>
      <w:r>
        <w:tab/>
      </w:r>
      <w:r>
        <w:fldChar w:fldCharType="begin"/>
      </w:r>
      <w:r>
        <w:instrText xml:space="preserve"> PAGEREF _Toc28922 \h </w:instrText>
      </w:r>
      <w:r>
        <w:fldChar w:fldCharType="separate"/>
      </w:r>
      <w:r>
        <w:t>- 32 -</w:t>
      </w:r>
      <w:r>
        <w:fldChar w:fldCharType="end"/>
      </w:r>
      <w:r>
        <w:rPr>
          <w:rFonts w:hint="eastAsia" w:ascii="仿宋" w:hAnsi="仿宋" w:eastAsia="仿宋" w:cs="仿宋"/>
          <w:color w:val="auto"/>
          <w:szCs w:val="24"/>
          <w:highlight w:val="none"/>
        </w:rPr>
        <w:fldChar w:fldCharType="end"/>
      </w:r>
    </w:p>
    <w:p w14:paraId="621833AE">
      <w:pPr>
        <w:pStyle w:val="19"/>
        <w:tabs>
          <w:tab w:val="right" w:leader="dot" w:pos="9639"/>
          <w:tab w:val="clear" w:pos="8400"/>
        </w:tabs>
      </w:pPr>
      <w:r>
        <w:rPr>
          <w:rFonts w:hint="eastAsia" w:ascii="仿宋" w:hAnsi="仿宋" w:eastAsia="仿宋" w:cs="仿宋"/>
          <w:color w:val="auto"/>
          <w:szCs w:val="24"/>
          <w:highlight w:val="none"/>
        </w:rPr>
        <w:fldChar w:fldCharType="begin"/>
      </w:r>
      <w:r>
        <w:rPr>
          <w:rFonts w:hint="eastAsia" w:ascii="仿宋" w:hAnsi="仿宋" w:eastAsia="仿宋" w:cs="仿宋"/>
          <w:szCs w:val="24"/>
          <w:highlight w:val="none"/>
        </w:rPr>
        <w:instrText xml:space="preserve"> HYPERLINK \l _Toc1413 </w:instrText>
      </w:r>
      <w:r>
        <w:rPr>
          <w:rFonts w:hint="eastAsia" w:ascii="仿宋" w:hAnsi="仿宋" w:eastAsia="仿宋" w:cs="仿宋"/>
          <w:szCs w:val="24"/>
          <w:highlight w:val="none"/>
        </w:rPr>
        <w:fldChar w:fldCharType="separate"/>
      </w:r>
      <w:r>
        <w:rPr>
          <w:rFonts w:hint="eastAsia" w:ascii="仿宋" w:hAnsi="仿宋" w:eastAsia="仿宋" w:cs="仿宋"/>
          <w:kern w:val="2"/>
          <w:szCs w:val="24"/>
          <w:lang w:val="en-US" w:eastAsia="zh-CN" w:bidi="ar-SA"/>
        </w:rPr>
        <w:t>四、资格条件及其他</w:t>
      </w:r>
      <w:r>
        <w:tab/>
      </w:r>
      <w:r>
        <w:fldChar w:fldCharType="begin"/>
      </w:r>
      <w:r>
        <w:instrText xml:space="preserve"> PAGEREF _Toc1413 \h </w:instrText>
      </w:r>
      <w:r>
        <w:fldChar w:fldCharType="separate"/>
      </w:r>
      <w:r>
        <w:t>34</w:t>
      </w:r>
      <w:r>
        <w:fldChar w:fldCharType="end"/>
      </w:r>
      <w:r>
        <w:rPr>
          <w:rFonts w:hint="eastAsia" w:ascii="仿宋" w:hAnsi="仿宋" w:eastAsia="仿宋" w:cs="仿宋"/>
          <w:color w:val="auto"/>
          <w:szCs w:val="24"/>
          <w:highlight w:val="none"/>
        </w:rPr>
        <w:fldChar w:fldCharType="end"/>
      </w:r>
    </w:p>
    <w:p w14:paraId="13FEE55A">
      <w:pPr>
        <w:pStyle w:val="19"/>
        <w:tabs>
          <w:tab w:val="right" w:leader="dot" w:pos="9639"/>
          <w:tab w:val="clear" w:pos="8400"/>
        </w:tabs>
      </w:pPr>
      <w:r>
        <w:rPr>
          <w:rFonts w:hint="eastAsia" w:ascii="仿宋" w:hAnsi="仿宋" w:eastAsia="仿宋" w:cs="仿宋"/>
          <w:color w:val="auto"/>
          <w:szCs w:val="24"/>
          <w:highlight w:val="none"/>
        </w:rPr>
        <w:fldChar w:fldCharType="begin"/>
      </w:r>
      <w:r>
        <w:rPr>
          <w:rFonts w:hint="eastAsia" w:ascii="仿宋" w:hAnsi="仿宋" w:eastAsia="仿宋" w:cs="仿宋"/>
          <w:szCs w:val="24"/>
          <w:highlight w:val="none"/>
        </w:rPr>
        <w:instrText xml:space="preserve"> HYPERLINK \l _Toc23022 </w:instrText>
      </w:r>
      <w:r>
        <w:rPr>
          <w:rFonts w:hint="eastAsia" w:ascii="仿宋" w:hAnsi="仿宋" w:eastAsia="仿宋" w:cs="仿宋"/>
          <w:szCs w:val="24"/>
          <w:highlight w:val="none"/>
        </w:rPr>
        <w:fldChar w:fldCharType="separate"/>
      </w:r>
      <w:r>
        <w:rPr>
          <w:rFonts w:hint="eastAsia" w:ascii="仿宋" w:hAnsi="仿宋" w:eastAsia="仿宋" w:cs="仿宋"/>
          <w:kern w:val="2"/>
          <w:szCs w:val="24"/>
          <w:lang w:val="en-US" w:eastAsia="zh-CN" w:bidi="ar-SA"/>
        </w:rPr>
        <w:t>五、其他资料</w:t>
      </w:r>
      <w:r>
        <w:tab/>
      </w:r>
      <w:r>
        <w:fldChar w:fldCharType="begin"/>
      </w:r>
      <w:r>
        <w:instrText xml:space="preserve"> PAGEREF _Toc23022 \h </w:instrText>
      </w:r>
      <w:r>
        <w:fldChar w:fldCharType="separate"/>
      </w:r>
      <w:r>
        <w:t>39</w:t>
      </w:r>
      <w:r>
        <w:fldChar w:fldCharType="end"/>
      </w:r>
      <w:r>
        <w:rPr>
          <w:rFonts w:hint="eastAsia" w:ascii="仿宋" w:hAnsi="仿宋" w:eastAsia="仿宋" w:cs="仿宋"/>
          <w:color w:val="auto"/>
          <w:szCs w:val="24"/>
          <w:highlight w:val="none"/>
        </w:rPr>
        <w:fldChar w:fldCharType="end"/>
      </w:r>
    </w:p>
    <w:p w14:paraId="427DE3E0">
      <w:pPr>
        <w:pStyle w:val="18"/>
        <w:ind w:firstLine="0" w:firstLineChars="0"/>
        <w:rPr>
          <w:rFonts w:hint="eastAsia" w:ascii="仿宋" w:hAnsi="仿宋" w:eastAsia="仿宋" w:cs="仿宋"/>
          <w:color w:val="auto"/>
          <w:sz w:val="24"/>
          <w:szCs w:val="24"/>
          <w:highlight w:val="none"/>
        </w:rPr>
      </w:pPr>
      <w:r>
        <w:rPr>
          <w:rFonts w:hint="eastAsia" w:ascii="仿宋" w:hAnsi="仿宋" w:eastAsia="仿宋" w:cs="仿宋"/>
          <w:color w:val="auto"/>
          <w:szCs w:val="24"/>
          <w:highlight w:val="none"/>
        </w:rPr>
        <w:fldChar w:fldCharType="end"/>
      </w:r>
      <w:r>
        <w:rPr>
          <w:rFonts w:hint="eastAsia" w:ascii="仿宋" w:hAnsi="仿宋" w:eastAsia="仿宋" w:cs="仿宋"/>
          <w:color w:val="auto"/>
          <w:sz w:val="24"/>
          <w:szCs w:val="24"/>
          <w:highlight w:val="none"/>
        </w:rPr>
        <w:br w:type="page"/>
      </w:r>
    </w:p>
    <w:p w14:paraId="24BA9CAA">
      <w:pPr>
        <w:pStyle w:val="2"/>
        <w:spacing w:before="0" w:beforeLines="0" w:after="0" w:afterLines="0" w:line="360" w:lineRule="auto"/>
        <w:rPr>
          <w:rFonts w:hint="eastAsia" w:ascii="仿宋" w:hAnsi="仿宋" w:eastAsia="仿宋" w:cs="仿宋"/>
          <w:b/>
          <w:bCs/>
          <w:color w:val="auto"/>
          <w:sz w:val="44"/>
          <w:szCs w:val="44"/>
          <w:highlight w:val="none"/>
        </w:rPr>
      </w:pPr>
      <w:bookmarkStart w:id="0" w:name="_Toc426"/>
      <w:r>
        <w:rPr>
          <w:rFonts w:hint="eastAsia" w:ascii="仿宋" w:hAnsi="仿宋" w:eastAsia="仿宋" w:cs="仿宋"/>
          <w:b/>
          <w:bCs/>
          <w:color w:val="auto"/>
          <w:sz w:val="44"/>
          <w:szCs w:val="44"/>
          <w:highlight w:val="none"/>
        </w:rPr>
        <w:t xml:space="preserve">第一篇  </w:t>
      </w:r>
      <w:r>
        <w:rPr>
          <w:rFonts w:hint="eastAsia" w:ascii="仿宋" w:hAnsi="仿宋" w:eastAsia="仿宋" w:cs="仿宋"/>
          <w:b/>
          <w:bCs/>
          <w:color w:val="auto"/>
          <w:sz w:val="44"/>
          <w:szCs w:val="44"/>
          <w:highlight w:val="none"/>
          <w:lang w:eastAsia="zh-CN"/>
        </w:rPr>
        <w:t>比选</w:t>
      </w:r>
      <w:r>
        <w:rPr>
          <w:rFonts w:hint="eastAsia" w:ascii="仿宋" w:hAnsi="仿宋" w:eastAsia="仿宋" w:cs="仿宋"/>
          <w:b/>
          <w:bCs/>
          <w:color w:val="auto"/>
          <w:sz w:val="44"/>
          <w:szCs w:val="44"/>
          <w:highlight w:val="none"/>
        </w:rPr>
        <w:t>邀请书</w:t>
      </w:r>
      <w:bookmarkEnd w:id="0"/>
    </w:p>
    <w:p w14:paraId="6023A75D">
      <w:pPr>
        <w:pStyle w:val="11"/>
        <w:keepNext w:val="0"/>
        <w:keepLines w:val="0"/>
        <w:pageBreakBefore w:val="0"/>
        <w:widowControl w:val="0"/>
        <w:kinsoku/>
        <w:wordWrap/>
        <w:overflowPunct/>
        <w:topLinePunct w:val="0"/>
        <w:autoSpaceDE/>
        <w:autoSpaceDN/>
        <w:bidi w:val="0"/>
        <w:adjustRightInd/>
        <w:snapToGrid/>
        <w:spacing w:line="400" w:lineRule="exact"/>
        <w:ind w:left="0" w:firstLine="480" w:firstLineChars="20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u w:val="single"/>
          <w:lang w:eastAsia="zh-CN"/>
        </w:rPr>
        <w:t>重庆市聚创招标代理有限公司</w:t>
      </w:r>
      <w:r>
        <w:rPr>
          <w:rFonts w:hint="eastAsia" w:ascii="仿宋" w:hAnsi="仿宋" w:eastAsia="仿宋" w:cs="仿宋"/>
          <w:color w:val="auto"/>
          <w:sz w:val="24"/>
          <w:szCs w:val="24"/>
          <w:highlight w:val="none"/>
        </w:rPr>
        <w:t>(以下简称：采购代理机构)受</w:t>
      </w:r>
      <w:r>
        <w:rPr>
          <w:rFonts w:hint="eastAsia" w:ascii="仿宋" w:hAnsi="仿宋" w:eastAsia="仿宋" w:cs="仿宋"/>
          <w:color w:val="auto"/>
          <w:sz w:val="24"/>
          <w:szCs w:val="24"/>
          <w:highlight w:val="none"/>
          <w:u w:val="single"/>
          <w:lang w:eastAsia="zh-CN"/>
        </w:rPr>
        <w:t>重庆市子漫人力资源服务有限公司、重庆市子漫人力资源服务有限公司伊顿物业分公司</w:t>
      </w:r>
      <w:r>
        <w:rPr>
          <w:rFonts w:hint="eastAsia" w:ascii="仿宋" w:hAnsi="仿宋" w:eastAsia="仿宋" w:cs="仿宋"/>
          <w:color w:val="auto"/>
          <w:sz w:val="24"/>
          <w:szCs w:val="24"/>
          <w:highlight w:val="none"/>
          <w:u w:val="none"/>
          <w:lang w:eastAsia="zh-CN"/>
        </w:rPr>
        <w:t>（</w:t>
      </w:r>
      <w:r>
        <w:rPr>
          <w:rFonts w:hint="eastAsia" w:ascii="仿宋" w:hAnsi="仿宋" w:eastAsia="仿宋" w:cs="仿宋"/>
          <w:color w:val="auto"/>
          <w:sz w:val="24"/>
          <w:szCs w:val="24"/>
          <w:highlight w:val="none"/>
          <w:u w:val="none"/>
          <w:lang w:val="en-US" w:eastAsia="zh-CN"/>
        </w:rPr>
        <w:t>以下简称：采购人</w:t>
      </w:r>
      <w:r>
        <w:rPr>
          <w:rFonts w:hint="eastAsia" w:ascii="仿宋" w:hAnsi="仿宋" w:eastAsia="仿宋" w:cs="仿宋"/>
          <w:color w:val="auto"/>
          <w:sz w:val="24"/>
          <w:szCs w:val="24"/>
          <w:highlight w:val="none"/>
          <w:u w:val="none"/>
          <w:lang w:eastAsia="zh-CN"/>
        </w:rPr>
        <w:t>）</w:t>
      </w:r>
      <w:r>
        <w:rPr>
          <w:rFonts w:hint="eastAsia" w:ascii="仿宋" w:hAnsi="仿宋" w:eastAsia="仿宋" w:cs="仿宋"/>
          <w:color w:val="auto"/>
          <w:sz w:val="24"/>
          <w:szCs w:val="24"/>
          <w:highlight w:val="none"/>
        </w:rPr>
        <w:t>的委托，对</w:t>
      </w:r>
      <w:r>
        <w:rPr>
          <w:rFonts w:hint="eastAsia" w:ascii="仿宋" w:hAnsi="仿宋" w:eastAsia="仿宋" w:cs="仿宋"/>
          <w:color w:val="auto"/>
          <w:sz w:val="24"/>
          <w:szCs w:val="24"/>
          <w:highlight w:val="none"/>
          <w:u w:val="single"/>
          <w:lang w:val="en-US" w:eastAsia="zh-CN"/>
        </w:rPr>
        <w:t>物业公众责任险及附加险采购（第二次）</w:t>
      </w:r>
      <w:r>
        <w:rPr>
          <w:rFonts w:hint="eastAsia" w:ascii="仿宋" w:hAnsi="仿宋" w:eastAsia="仿宋" w:cs="仿宋"/>
          <w:color w:val="auto"/>
          <w:sz w:val="24"/>
          <w:szCs w:val="24"/>
          <w:highlight w:val="none"/>
        </w:rPr>
        <w:t>（项目号</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u w:val="none"/>
          <w:lang w:val="en-US" w:eastAsia="zh-CN"/>
        </w:rPr>
        <w:t>JCZB26183</w:t>
      </w:r>
      <w:r>
        <w:rPr>
          <w:rFonts w:hint="eastAsia" w:ascii="仿宋" w:hAnsi="仿宋" w:eastAsia="仿宋" w:cs="仿宋"/>
          <w:color w:val="auto"/>
          <w:sz w:val="24"/>
          <w:szCs w:val="24"/>
          <w:highlight w:val="none"/>
        </w:rPr>
        <w:t>）进行比选。欢迎有资格的</w:t>
      </w: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前来参加比选。</w:t>
      </w:r>
    </w:p>
    <w:p w14:paraId="4D557B93">
      <w:pPr>
        <w:pStyle w:val="3"/>
        <w:pageBreakBefore w:val="0"/>
        <w:widowControl w:val="0"/>
        <w:numPr>
          <w:ilvl w:val="0"/>
          <w:numId w:val="0"/>
        </w:numPr>
        <w:kinsoku/>
        <w:wordWrap/>
        <w:overflowPunct/>
        <w:topLinePunct w:val="0"/>
        <w:autoSpaceDE/>
        <w:autoSpaceDN/>
        <w:bidi w:val="0"/>
        <w:spacing w:line="400" w:lineRule="exact"/>
        <w:textAlignment w:val="auto"/>
        <w:rPr>
          <w:rFonts w:hint="eastAsia" w:ascii="仿宋" w:hAnsi="仿宋" w:eastAsia="仿宋" w:cs="仿宋"/>
          <w:b/>
          <w:color w:val="auto"/>
          <w:sz w:val="24"/>
          <w:szCs w:val="24"/>
          <w:highlight w:val="none"/>
        </w:rPr>
      </w:pPr>
      <w:bookmarkStart w:id="1" w:name="_Toc28219"/>
      <w:r>
        <w:rPr>
          <w:rFonts w:hint="eastAsia" w:ascii="仿宋" w:hAnsi="仿宋" w:eastAsia="仿宋" w:cs="仿宋"/>
          <w:b/>
          <w:color w:val="auto"/>
          <w:kern w:val="2"/>
          <w:sz w:val="24"/>
          <w:szCs w:val="24"/>
          <w:lang w:val="en-US" w:eastAsia="zh-CN" w:bidi="ar-SA"/>
        </w:rPr>
        <w:t>一、</w:t>
      </w:r>
      <w:r>
        <w:rPr>
          <w:rFonts w:hint="eastAsia" w:ascii="仿宋" w:hAnsi="仿宋" w:eastAsia="仿宋" w:cs="仿宋"/>
          <w:b/>
          <w:color w:val="auto"/>
          <w:sz w:val="24"/>
          <w:szCs w:val="24"/>
          <w:highlight w:val="none"/>
        </w:rPr>
        <w:t>比选内容</w:t>
      </w:r>
      <w:bookmarkEnd w:id="1"/>
    </w:p>
    <w:p w14:paraId="10FA0835">
      <w:pPr>
        <w:pageBreakBefore w:val="0"/>
        <w:widowControl w:val="0"/>
        <w:numPr>
          <w:ilvl w:val="0"/>
          <w:numId w:val="0"/>
        </w:numPr>
        <w:kinsoku/>
        <w:wordWrap/>
        <w:overflowPunct/>
        <w:topLinePunct w:val="0"/>
        <w:autoSpaceDE/>
        <w:autoSpaceDN/>
        <w:bidi w:val="0"/>
        <w:spacing w:line="400" w:lineRule="exact"/>
        <w:jc w:val="both"/>
        <w:textAlignment w:val="auto"/>
        <w:rPr>
          <w:rFonts w:hint="eastAsia" w:ascii="仿宋" w:hAnsi="仿宋" w:eastAsia="仿宋" w:cs="仿宋"/>
          <w:sz w:val="24"/>
          <w:szCs w:val="24"/>
          <w:highlight w:val="none"/>
        </w:rPr>
      </w:pPr>
    </w:p>
    <w:tbl>
      <w:tblPr>
        <w:tblStyle w:val="24"/>
        <w:tblW w:w="95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07"/>
        <w:gridCol w:w="1781"/>
        <w:gridCol w:w="1960"/>
        <w:gridCol w:w="1388"/>
      </w:tblGrid>
      <w:tr w14:paraId="5CF06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2" w:hRule="atLeast"/>
          <w:jc w:val="center"/>
        </w:trPr>
        <w:tc>
          <w:tcPr>
            <w:tcW w:w="4407" w:type="dxa"/>
            <w:tcBorders>
              <w:top w:val="single" w:color="auto" w:sz="4" w:space="0"/>
              <w:left w:val="single" w:color="auto" w:sz="4" w:space="0"/>
              <w:right w:val="single" w:color="auto" w:sz="4" w:space="0"/>
            </w:tcBorders>
            <w:noWrap w:val="0"/>
            <w:vAlign w:val="center"/>
          </w:tcPr>
          <w:p w14:paraId="1646DD2E">
            <w:pPr>
              <w:pageBreakBefore w:val="0"/>
              <w:widowControl/>
              <w:kinsoku/>
              <w:wordWrap/>
              <w:overflowPunct/>
              <w:topLinePunct w:val="0"/>
              <w:autoSpaceDE/>
              <w:autoSpaceDN/>
              <w:bidi w:val="0"/>
              <w:spacing w:line="400" w:lineRule="exact"/>
              <w:ind w:firstLine="0" w:firstLineChars="0"/>
              <w:jc w:val="center"/>
              <w:textAlignment w:val="auto"/>
              <w:rPr>
                <w:rFonts w:hint="eastAsia" w:ascii="仿宋" w:hAnsi="仿宋" w:eastAsia="仿宋" w:cs="仿宋"/>
                <w:b/>
                <w:bCs/>
                <w:color w:val="000000"/>
                <w:kern w:val="0"/>
                <w:sz w:val="24"/>
                <w:szCs w:val="24"/>
                <w:highlight w:val="none"/>
              </w:rPr>
            </w:pPr>
            <w:r>
              <w:rPr>
                <w:rFonts w:hint="eastAsia" w:ascii="仿宋" w:hAnsi="仿宋" w:eastAsia="仿宋" w:cs="仿宋"/>
                <w:b/>
                <w:bCs/>
                <w:color w:val="000000"/>
                <w:kern w:val="0"/>
                <w:sz w:val="24"/>
                <w:szCs w:val="24"/>
                <w:highlight w:val="none"/>
                <w:lang w:val="en-US" w:eastAsia="zh-CN"/>
              </w:rPr>
              <w:t>项目名称</w:t>
            </w:r>
          </w:p>
        </w:tc>
        <w:tc>
          <w:tcPr>
            <w:tcW w:w="1781" w:type="dxa"/>
            <w:tcBorders>
              <w:top w:val="single" w:color="auto" w:sz="4" w:space="0"/>
              <w:left w:val="single" w:color="auto" w:sz="4" w:space="0"/>
              <w:right w:val="single" w:color="auto" w:sz="4" w:space="0"/>
            </w:tcBorders>
            <w:noWrap w:val="0"/>
            <w:vAlign w:val="center"/>
          </w:tcPr>
          <w:p w14:paraId="0C23F08B">
            <w:pPr>
              <w:pStyle w:val="11"/>
              <w:pageBreakBefore w:val="0"/>
              <w:kinsoku/>
              <w:wordWrap/>
              <w:overflowPunct/>
              <w:topLinePunct w:val="0"/>
              <w:autoSpaceDE/>
              <w:autoSpaceDN/>
              <w:bidi w:val="0"/>
              <w:spacing w:line="400" w:lineRule="exact"/>
              <w:ind w:left="0"/>
              <w:jc w:val="center"/>
              <w:textAlignment w:val="auto"/>
              <w:outlineLvl w:val="0"/>
              <w:rPr>
                <w:rFonts w:hint="eastAsia" w:ascii="仿宋" w:hAnsi="仿宋" w:eastAsia="仿宋" w:cs="仿宋"/>
                <w:b/>
                <w:sz w:val="24"/>
                <w:szCs w:val="24"/>
                <w:highlight w:val="none"/>
              </w:rPr>
            </w:pPr>
            <w:r>
              <w:rPr>
                <w:rFonts w:hint="eastAsia" w:ascii="仿宋" w:hAnsi="仿宋" w:eastAsia="仿宋" w:cs="仿宋"/>
                <w:b/>
                <w:sz w:val="24"/>
                <w:szCs w:val="24"/>
                <w:highlight w:val="none"/>
              </w:rPr>
              <w:t>最高限价</w:t>
            </w:r>
          </w:p>
          <w:p w14:paraId="021D395C">
            <w:pPr>
              <w:pageBreakBefore w:val="0"/>
              <w:widowControl/>
              <w:kinsoku/>
              <w:wordWrap/>
              <w:overflowPunct/>
              <w:topLinePunct w:val="0"/>
              <w:autoSpaceDE/>
              <w:autoSpaceDN/>
              <w:bidi w:val="0"/>
              <w:spacing w:line="400" w:lineRule="exact"/>
              <w:jc w:val="center"/>
              <w:textAlignment w:val="auto"/>
              <w:rPr>
                <w:rFonts w:hint="eastAsia" w:ascii="仿宋" w:hAnsi="仿宋" w:eastAsia="仿宋" w:cs="仿宋"/>
                <w:b/>
                <w:bCs/>
                <w:color w:val="000000"/>
                <w:kern w:val="0"/>
                <w:sz w:val="24"/>
                <w:szCs w:val="24"/>
                <w:highlight w:val="none"/>
              </w:rPr>
            </w:pPr>
            <w:r>
              <w:rPr>
                <w:rFonts w:hint="eastAsia" w:ascii="仿宋" w:hAnsi="仿宋" w:eastAsia="仿宋" w:cs="仿宋"/>
                <w:b/>
                <w:sz w:val="24"/>
                <w:szCs w:val="24"/>
                <w:highlight w:val="none"/>
              </w:rPr>
              <w:t>（折扣</w:t>
            </w:r>
            <w:r>
              <w:rPr>
                <w:rFonts w:hint="eastAsia" w:ascii="仿宋" w:hAnsi="仿宋" w:eastAsia="仿宋" w:cs="仿宋"/>
                <w:b/>
                <w:sz w:val="24"/>
                <w:szCs w:val="24"/>
                <w:highlight w:val="none"/>
                <w:lang w:val="en-US" w:eastAsia="zh-CN"/>
              </w:rPr>
              <w:t>比例</w:t>
            </w:r>
            <w:r>
              <w:rPr>
                <w:rFonts w:hint="eastAsia" w:ascii="仿宋" w:hAnsi="仿宋" w:eastAsia="仿宋" w:cs="仿宋"/>
                <w:b/>
                <w:sz w:val="24"/>
                <w:szCs w:val="24"/>
                <w:highlight w:val="none"/>
              </w:rPr>
              <w:t>）</w:t>
            </w:r>
          </w:p>
        </w:tc>
        <w:tc>
          <w:tcPr>
            <w:tcW w:w="1960" w:type="dxa"/>
            <w:tcBorders>
              <w:top w:val="single" w:color="auto" w:sz="4" w:space="0"/>
              <w:left w:val="single" w:color="auto" w:sz="4" w:space="0"/>
              <w:right w:val="single" w:color="auto" w:sz="4" w:space="0"/>
            </w:tcBorders>
            <w:noWrap w:val="0"/>
            <w:vAlign w:val="center"/>
          </w:tcPr>
          <w:p w14:paraId="65737177">
            <w:pPr>
              <w:pageBreakBefore w:val="0"/>
              <w:kinsoku/>
              <w:wordWrap/>
              <w:overflowPunct/>
              <w:topLinePunct w:val="0"/>
              <w:autoSpaceDE/>
              <w:autoSpaceDN/>
              <w:bidi w:val="0"/>
              <w:spacing w:line="400" w:lineRule="exact"/>
              <w:ind w:firstLine="0" w:firstLineChars="0"/>
              <w:jc w:val="center"/>
              <w:textAlignment w:val="auto"/>
              <w:rPr>
                <w:rFonts w:hint="eastAsia" w:ascii="仿宋" w:hAnsi="仿宋" w:eastAsia="仿宋" w:cs="仿宋"/>
                <w:b/>
                <w:bCs/>
                <w:color w:val="000000"/>
                <w:kern w:val="0"/>
                <w:sz w:val="24"/>
                <w:szCs w:val="24"/>
                <w:highlight w:val="none"/>
              </w:rPr>
            </w:pPr>
            <w:r>
              <w:rPr>
                <w:rFonts w:hint="eastAsia" w:ascii="仿宋" w:hAnsi="仿宋" w:eastAsia="仿宋" w:cs="仿宋"/>
                <w:b/>
                <w:bCs/>
                <w:color w:val="000000"/>
                <w:kern w:val="0"/>
                <w:sz w:val="24"/>
                <w:szCs w:val="24"/>
                <w:highlight w:val="none"/>
              </w:rPr>
              <w:t>成交供应商数量（名）</w:t>
            </w:r>
          </w:p>
        </w:tc>
        <w:tc>
          <w:tcPr>
            <w:tcW w:w="1388" w:type="dxa"/>
            <w:tcBorders>
              <w:top w:val="single" w:color="auto" w:sz="4" w:space="0"/>
              <w:left w:val="single" w:color="auto" w:sz="4" w:space="0"/>
              <w:right w:val="single" w:color="auto" w:sz="4" w:space="0"/>
            </w:tcBorders>
            <w:noWrap w:val="0"/>
            <w:vAlign w:val="center"/>
          </w:tcPr>
          <w:p w14:paraId="3B06A9D4">
            <w:pPr>
              <w:pageBreakBefore w:val="0"/>
              <w:kinsoku/>
              <w:wordWrap/>
              <w:overflowPunct/>
              <w:topLinePunct w:val="0"/>
              <w:autoSpaceDE/>
              <w:autoSpaceDN/>
              <w:bidi w:val="0"/>
              <w:spacing w:line="400" w:lineRule="exact"/>
              <w:ind w:firstLine="0" w:firstLineChars="0"/>
              <w:jc w:val="center"/>
              <w:textAlignment w:val="auto"/>
              <w:rPr>
                <w:rFonts w:hint="eastAsia" w:ascii="仿宋" w:hAnsi="仿宋" w:eastAsia="仿宋" w:cs="仿宋"/>
                <w:b/>
                <w:bCs/>
                <w:color w:val="000000"/>
                <w:kern w:val="0"/>
                <w:sz w:val="24"/>
                <w:szCs w:val="24"/>
                <w:highlight w:val="none"/>
                <w:lang w:val="en-US" w:eastAsia="zh-CN"/>
              </w:rPr>
            </w:pPr>
            <w:r>
              <w:rPr>
                <w:rFonts w:hint="eastAsia" w:ascii="仿宋" w:hAnsi="仿宋" w:eastAsia="仿宋" w:cs="仿宋"/>
                <w:b/>
                <w:bCs/>
                <w:color w:val="000000"/>
                <w:kern w:val="0"/>
                <w:sz w:val="24"/>
                <w:szCs w:val="24"/>
                <w:highlight w:val="none"/>
                <w:lang w:val="en-US" w:eastAsia="zh-CN"/>
              </w:rPr>
              <w:t>备注</w:t>
            </w:r>
          </w:p>
        </w:tc>
      </w:tr>
      <w:tr w14:paraId="4DFF9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2" w:hRule="atLeast"/>
          <w:jc w:val="center"/>
        </w:trPr>
        <w:tc>
          <w:tcPr>
            <w:tcW w:w="4407" w:type="dxa"/>
            <w:tcBorders>
              <w:top w:val="single" w:color="auto" w:sz="4" w:space="0"/>
              <w:left w:val="single" w:color="auto" w:sz="4" w:space="0"/>
              <w:bottom w:val="single" w:color="auto" w:sz="4" w:space="0"/>
              <w:right w:val="single" w:color="auto" w:sz="4" w:space="0"/>
            </w:tcBorders>
            <w:noWrap w:val="0"/>
            <w:vAlign w:val="center"/>
          </w:tcPr>
          <w:p w14:paraId="1C47DC00">
            <w:pPr>
              <w:pageBreakBefore w:val="0"/>
              <w:widowControl/>
              <w:numPr>
                <w:ilvl w:val="0"/>
                <w:numId w:val="0"/>
              </w:numPr>
              <w:kinsoku/>
              <w:wordWrap/>
              <w:overflowPunct/>
              <w:topLinePunct w:val="0"/>
              <w:autoSpaceDE/>
              <w:autoSpaceDN/>
              <w:bidi w:val="0"/>
              <w:spacing w:line="400" w:lineRule="exact"/>
              <w:ind w:firstLine="0" w:firstLineChars="0"/>
              <w:jc w:val="center"/>
              <w:textAlignment w:val="auto"/>
              <w:rPr>
                <w:rFonts w:hint="eastAsia" w:ascii="仿宋" w:hAnsi="仿宋" w:eastAsia="仿宋" w:cs="仿宋"/>
                <w:b w:val="0"/>
                <w:bCs w:val="0"/>
                <w:color w:val="000000"/>
                <w:kern w:val="2"/>
                <w:sz w:val="24"/>
                <w:szCs w:val="24"/>
                <w:highlight w:val="none"/>
                <w:lang w:val="en-US" w:eastAsia="zh-CN"/>
              </w:rPr>
            </w:pPr>
            <w:r>
              <w:rPr>
                <w:rFonts w:hint="eastAsia" w:ascii="仿宋" w:hAnsi="仿宋" w:eastAsia="仿宋" w:cs="仿宋"/>
                <w:color w:val="auto"/>
                <w:sz w:val="24"/>
                <w:szCs w:val="24"/>
                <w:highlight w:val="none"/>
                <w:u w:val="none"/>
                <w:lang w:val="en-US" w:eastAsia="zh-CN"/>
              </w:rPr>
              <w:t>物业公众责任险及附加险采购（第二次）</w:t>
            </w:r>
          </w:p>
        </w:tc>
        <w:tc>
          <w:tcPr>
            <w:tcW w:w="1781" w:type="dxa"/>
            <w:tcBorders>
              <w:top w:val="single" w:color="auto" w:sz="4" w:space="0"/>
              <w:left w:val="single" w:color="auto" w:sz="4" w:space="0"/>
              <w:bottom w:val="single" w:color="auto" w:sz="4" w:space="0"/>
              <w:right w:val="single" w:color="auto" w:sz="4" w:space="0"/>
            </w:tcBorders>
            <w:noWrap w:val="0"/>
            <w:vAlign w:val="center"/>
          </w:tcPr>
          <w:p w14:paraId="72C93E6B">
            <w:pPr>
              <w:pageBreakBefore w:val="0"/>
              <w:widowControl/>
              <w:numPr>
                <w:ilvl w:val="0"/>
                <w:numId w:val="0"/>
              </w:numPr>
              <w:kinsoku/>
              <w:wordWrap/>
              <w:overflowPunct/>
              <w:topLinePunct w:val="0"/>
              <w:autoSpaceDE/>
              <w:autoSpaceDN/>
              <w:bidi w:val="0"/>
              <w:spacing w:line="400" w:lineRule="exact"/>
              <w:ind w:firstLine="0" w:firstLineChars="0"/>
              <w:jc w:val="center"/>
              <w:textAlignment w:val="auto"/>
              <w:rPr>
                <w:rFonts w:hint="eastAsia" w:ascii="仿宋" w:hAnsi="仿宋" w:eastAsia="仿宋" w:cs="仿宋"/>
                <w:b w:val="0"/>
                <w:bCs w:val="0"/>
                <w:color w:val="000000"/>
                <w:sz w:val="24"/>
                <w:szCs w:val="24"/>
                <w:highlight w:val="none"/>
                <w:lang w:val="en-US" w:eastAsia="zh-CN"/>
              </w:rPr>
            </w:pPr>
            <w:r>
              <w:rPr>
                <w:rFonts w:hint="eastAsia" w:ascii="仿宋" w:hAnsi="仿宋" w:eastAsia="仿宋" w:cs="仿宋"/>
                <w:sz w:val="24"/>
                <w:szCs w:val="24"/>
                <w:highlight w:val="none"/>
                <w:lang w:val="en-US" w:eastAsia="zh-CN"/>
              </w:rPr>
              <w:t>100%</w:t>
            </w:r>
          </w:p>
        </w:tc>
        <w:tc>
          <w:tcPr>
            <w:tcW w:w="1960" w:type="dxa"/>
            <w:tcBorders>
              <w:top w:val="single" w:color="auto" w:sz="4" w:space="0"/>
              <w:left w:val="single" w:color="auto" w:sz="4" w:space="0"/>
              <w:bottom w:val="single" w:color="auto" w:sz="4" w:space="0"/>
              <w:right w:val="single" w:color="auto" w:sz="4" w:space="0"/>
            </w:tcBorders>
            <w:noWrap w:val="0"/>
            <w:vAlign w:val="center"/>
          </w:tcPr>
          <w:p w14:paraId="7D8945C5">
            <w:pPr>
              <w:pageBreakBefore w:val="0"/>
              <w:kinsoku/>
              <w:wordWrap/>
              <w:overflowPunct/>
              <w:topLinePunct w:val="0"/>
              <w:autoSpaceDE/>
              <w:autoSpaceDN/>
              <w:bidi w:val="0"/>
              <w:spacing w:line="400" w:lineRule="exact"/>
              <w:jc w:val="center"/>
              <w:textAlignment w:val="auto"/>
              <w:rPr>
                <w:rFonts w:hint="eastAsia" w:ascii="仿宋" w:hAnsi="仿宋" w:eastAsia="仿宋" w:cs="仿宋"/>
                <w:b w:val="0"/>
                <w:bCs w:val="0"/>
                <w:color w:val="000000"/>
                <w:sz w:val="24"/>
                <w:szCs w:val="24"/>
                <w:highlight w:val="none"/>
                <w:lang w:val="en-US" w:eastAsia="zh-CN"/>
              </w:rPr>
            </w:pPr>
            <w:r>
              <w:rPr>
                <w:rFonts w:hint="eastAsia" w:ascii="仿宋" w:hAnsi="仿宋" w:eastAsia="仿宋" w:cs="仿宋"/>
                <w:b w:val="0"/>
                <w:bCs w:val="0"/>
                <w:color w:val="000000"/>
                <w:sz w:val="24"/>
                <w:szCs w:val="24"/>
                <w:highlight w:val="none"/>
                <w:lang w:val="en-US" w:eastAsia="zh-CN"/>
              </w:rPr>
              <w:t>1</w:t>
            </w:r>
          </w:p>
        </w:tc>
        <w:tc>
          <w:tcPr>
            <w:tcW w:w="1388" w:type="dxa"/>
            <w:tcBorders>
              <w:top w:val="single" w:color="auto" w:sz="4" w:space="0"/>
              <w:left w:val="single" w:color="auto" w:sz="4" w:space="0"/>
              <w:right w:val="single" w:color="auto" w:sz="4" w:space="0"/>
            </w:tcBorders>
            <w:noWrap w:val="0"/>
            <w:vAlign w:val="center"/>
          </w:tcPr>
          <w:p w14:paraId="3277E056">
            <w:pPr>
              <w:pageBreakBefore w:val="0"/>
              <w:kinsoku/>
              <w:wordWrap/>
              <w:overflowPunct/>
              <w:topLinePunct w:val="0"/>
              <w:autoSpaceDE/>
              <w:autoSpaceDN/>
              <w:bidi w:val="0"/>
              <w:spacing w:line="400" w:lineRule="exact"/>
              <w:ind w:firstLine="0" w:firstLineChars="0"/>
              <w:jc w:val="both"/>
              <w:textAlignment w:val="auto"/>
              <w:rPr>
                <w:rFonts w:hint="eastAsia" w:ascii="仿宋" w:hAnsi="仿宋" w:eastAsia="仿宋" w:cs="仿宋"/>
                <w:b w:val="0"/>
                <w:bCs w:val="0"/>
                <w:color w:val="000000"/>
                <w:sz w:val="24"/>
                <w:szCs w:val="24"/>
                <w:highlight w:val="none"/>
                <w:lang w:val="en-US" w:eastAsia="zh-CN"/>
              </w:rPr>
            </w:pPr>
          </w:p>
        </w:tc>
      </w:tr>
    </w:tbl>
    <w:p w14:paraId="76AF3D73">
      <w:pPr>
        <w:pStyle w:val="3"/>
        <w:pageBreakBefore w:val="0"/>
        <w:widowControl w:val="0"/>
        <w:numPr>
          <w:ilvl w:val="0"/>
          <w:numId w:val="0"/>
        </w:numPr>
        <w:kinsoku/>
        <w:wordWrap/>
        <w:overflowPunct/>
        <w:topLinePunct w:val="0"/>
        <w:autoSpaceDE/>
        <w:autoSpaceDN/>
        <w:bidi w:val="0"/>
        <w:spacing w:line="400" w:lineRule="exact"/>
        <w:textAlignment w:val="auto"/>
        <w:rPr>
          <w:rFonts w:hint="eastAsia" w:ascii="仿宋" w:hAnsi="仿宋" w:eastAsia="仿宋" w:cs="仿宋"/>
          <w:b/>
          <w:color w:val="auto"/>
          <w:kern w:val="2"/>
          <w:sz w:val="24"/>
          <w:szCs w:val="24"/>
          <w:lang w:val="en-US" w:eastAsia="zh-CN" w:bidi="ar-SA"/>
        </w:rPr>
      </w:pPr>
      <w:bookmarkStart w:id="2" w:name="_Toc1082"/>
      <w:r>
        <w:rPr>
          <w:rFonts w:hint="eastAsia" w:ascii="仿宋" w:hAnsi="仿宋" w:eastAsia="仿宋" w:cs="仿宋"/>
          <w:b/>
          <w:color w:val="auto"/>
          <w:kern w:val="2"/>
          <w:sz w:val="24"/>
          <w:szCs w:val="24"/>
          <w:lang w:val="en-US" w:eastAsia="zh-CN" w:bidi="ar-SA"/>
        </w:rPr>
        <w:t>二、资金来源</w:t>
      </w:r>
      <w:bookmarkEnd w:id="2"/>
    </w:p>
    <w:p w14:paraId="32ECDBE9">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自筹资金</w:t>
      </w:r>
    </w:p>
    <w:p w14:paraId="711E8326">
      <w:pPr>
        <w:pStyle w:val="3"/>
        <w:pageBreakBefore w:val="0"/>
        <w:widowControl w:val="0"/>
        <w:numPr>
          <w:ilvl w:val="0"/>
          <w:numId w:val="0"/>
        </w:numPr>
        <w:kinsoku/>
        <w:wordWrap/>
        <w:overflowPunct/>
        <w:topLinePunct w:val="0"/>
        <w:autoSpaceDE/>
        <w:autoSpaceDN/>
        <w:bidi w:val="0"/>
        <w:spacing w:line="400" w:lineRule="exact"/>
        <w:textAlignment w:val="auto"/>
        <w:rPr>
          <w:rFonts w:hint="eastAsia" w:ascii="仿宋" w:hAnsi="仿宋" w:eastAsia="仿宋" w:cs="仿宋"/>
          <w:b/>
          <w:color w:val="auto"/>
          <w:kern w:val="2"/>
          <w:sz w:val="24"/>
          <w:szCs w:val="24"/>
          <w:lang w:val="en-US" w:eastAsia="zh-CN" w:bidi="ar-SA"/>
        </w:rPr>
      </w:pPr>
      <w:bookmarkStart w:id="3" w:name="_Toc13084"/>
      <w:r>
        <w:rPr>
          <w:rFonts w:hint="eastAsia" w:ascii="仿宋" w:hAnsi="仿宋" w:eastAsia="仿宋" w:cs="仿宋"/>
          <w:b/>
          <w:color w:val="auto"/>
          <w:kern w:val="2"/>
          <w:sz w:val="24"/>
          <w:szCs w:val="24"/>
          <w:lang w:val="en-US" w:eastAsia="zh-CN" w:bidi="ar-SA"/>
        </w:rPr>
        <w:t>三、供应商资格条件</w:t>
      </w:r>
      <w:bookmarkEnd w:id="3"/>
    </w:p>
    <w:p w14:paraId="540DF296">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（一）满足《中华人民共和国政府采购法》第二十二条规定；</w:t>
      </w:r>
    </w:p>
    <w:p w14:paraId="0C85607A">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（二）落实政府采购政策需满足的资格要求：无</w:t>
      </w:r>
    </w:p>
    <w:p w14:paraId="3901CF36">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（三）特定资格条件</w:t>
      </w:r>
      <w:bookmarkStart w:id="4" w:name="_Toc38532846"/>
      <w:bookmarkStart w:id="5" w:name="_Toc31712"/>
      <w:bookmarkStart w:id="6" w:name="_Toc9978"/>
      <w:bookmarkStart w:id="7" w:name="_Toc8408"/>
      <w:r>
        <w:rPr>
          <w:rFonts w:hint="eastAsia" w:ascii="仿宋" w:hAnsi="仿宋" w:eastAsia="仿宋" w:cs="仿宋"/>
          <w:color w:val="auto"/>
          <w:sz w:val="24"/>
          <w:szCs w:val="24"/>
          <w:highlight w:val="none"/>
          <w:lang w:val="en-US" w:eastAsia="zh-CN"/>
        </w:rPr>
        <w:t>：供应商具有国家金融监督管理总局颁发的《保</w:t>
      </w:r>
      <w:bookmarkStart w:id="174" w:name="_GoBack"/>
      <w:bookmarkEnd w:id="174"/>
      <w:r>
        <w:rPr>
          <w:rFonts w:hint="eastAsia" w:ascii="仿宋" w:hAnsi="仿宋" w:eastAsia="仿宋" w:cs="仿宋"/>
          <w:color w:val="auto"/>
          <w:sz w:val="24"/>
          <w:szCs w:val="24"/>
          <w:highlight w:val="none"/>
          <w:lang w:val="en-US" w:eastAsia="zh-CN"/>
        </w:rPr>
        <w:t>险许可证》或《金融许可证》（提供复印件加盖公章）。</w:t>
      </w:r>
    </w:p>
    <w:p w14:paraId="69C82CD6">
      <w:pPr>
        <w:pStyle w:val="9"/>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注：因保险经营行业特殊情况，本项目允许保险公司分支公司、营业部、分支机构等及以上的保险机构参与竞选，不接受保险分出业务（如经纪公司等）。供应商须具备总公司针对本项目出具的唯一授权函原件。本竞争性比选文件所称法定代表人可为营业执照标注的“负责人”。</w:t>
      </w:r>
    </w:p>
    <w:p w14:paraId="5009F13E">
      <w:pPr>
        <w:pStyle w:val="9"/>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提供总公司针对本项目出具的唯一授权函原件并加盖总公司公章。</w:t>
      </w:r>
    </w:p>
    <w:p w14:paraId="155AD6A6">
      <w:pPr>
        <w:pStyle w:val="9"/>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①同一保险公司总公司，仅能授权一家分支机构参与本项目比选；总公司与自身授权的分支机构、同一总公司旗下多家分支机构，不得同时参与本项目比选，否则相关比选均作无效处理。</w:t>
      </w:r>
    </w:p>
    <w:p w14:paraId="2F7BC286">
      <w:pPr>
        <w:pStyle w:val="9"/>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default"/>
          <w:sz w:val="24"/>
          <w:szCs w:val="24"/>
          <w:highlight w:val="none"/>
          <w:lang w:val="en-US" w:eastAsia="zh-CN"/>
        </w:rPr>
      </w:pPr>
      <w:r>
        <w:rPr>
          <w:rFonts w:hint="eastAsia" w:ascii="仿宋" w:hAnsi="仿宋" w:eastAsia="仿宋" w:cs="仿宋"/>
          <w:color w:val="auto"/>
          <w:sz w:val="24"/>
          <w:szCs w:val="24"/>
          <w:highlight w:val="none"/>
          <w:lang w:val="en-US" w:eastAsia="zh-CN"/>
        </w:rPr>
        <w:t>②同一保险集团内，仅能有一家具备独立法人资格的保险主体参与本项目比选，集团内多家独立法人保险主体同时比选的，相关比选均作无效处理。</w:t>
      </w:r>
    </w:p>
    <w:p w14:paraId="749AA37B">
      <w:pPr>
        <w:pStyle w:val="3"/>
        <w:pageBreakBefore w:val="0"/>
        <w:widowControl w:val="0"/>
        <w:numPr>
          <w:ilvl w:val="0"/>
          <w:numId w:val="0"/>
        </w:numPr>
        <w:kinsoku/>
        <w:wordWrap/>
        <w:overflowPunct/>
        <w:topLinePunct w:val="0"/>
        <w:autoSpaceDE/>
        <w:autoSpaceDN/>
        <w:bidi w:val="0"/>
        <w:spacing w:line="400" w:lineRule="exact"/>
        <w:textAlignment w:val="auto"/>
        <w:rPr>
          <w:rFonts w:hint="eastAsia" w:ascii="仿宋" w:hAnsi="仿宋" w:eastAsia="仿宋" w:cs="仿宋"/>
          <w:b/>
          <w:color w:val="auto"/>
          <w:kern w:val="2"/>
          <w:sz w:val="24"/>
          <w:szCs w:val="24"/>
          <w:highlight w:val="none"/>
          <w:lang w:val="en-US" w:eastAsia="zh-CN" w:bidi="ar-SA"/>
        </w:rPr>
      </w:pPr>
      <w:bookmarkStart w:id="8" w:name="_Toc2057"/>
      <w:r>
        <w:rPr>
          <w:rFonts w:hint="eastAsia" w:ascii="仿宋" w:hAnsi="仿宋" w:eastAsia="仿宋" w:cs="仿宋"/>
          <w:b/>
          <w:color w:val="auto"/>
          <w:kern w:val="2"/>
          <w:sz w:val="24"/>
          <w:szCs w:val="24"/>
          <w:highlight w:val="none"/>
          <w:lang w:val="en-US" w:eastAsia="zh-CN" w:bidi="ar-SA"/>
        </w:rPr>
        <w:t>四、比选有关说明</w:t>
      </w:r>
      <w:bookmarkEnd w:id="4"/>
      <w:bookmarkEnd w:id="5"/>
      <w:bookmarkEnd w:id="6"/>
      <w:bookmarkEnd w:id="7"/>
      <w:bookmarkEnd w:id="8"/>
      <w:bookmarkStart w:id="9" w:name="_Toc373860294"/>
    </w:p>
    <w:bookmarkEnd w:id="9"/>
    <w:p w14:paraId="03E083CE">
      <w:pPr>
        <w:pageBreakBefore w:val="0"/>
        <w:widowControl w:val="0"/>
        <w:kinsoku/>
        <w:wordWrap/>
        <w:overflowPunct/>
        <w:topLinePunct w:val="0"/>
        <w:autoSpaceDE/>
        <w:autoSpaceDN/>
        <w:bidi w:val="0"/>
        <w:spacing w:line="400" w:lineRule="exact"/>
        <w:ind w:left="0" w:firstLine="480" w:firstLineChars="200"/>
        <w:textAlignment w:val="auto"/>
        <w:rPr>
          <w:rFonts w:hint="eastAsia" w:ascii="仿宋" w:hAnsi="仿宋" w:eastAsia="仿宋" w:cs="仿宋"/>
          <w:color w:val="auto"/>
          <w:sz w:val="24"/>
          <w:szCs w:val="24"/>
          <w:highlight w:val="none"/>
        </w:rPr>
      </w:pPr>
      <w:bookmarkStart w:id="10" w:name="_Toc20439"/>
      <w:bookmarkStart w:id="11" w:name="_Toc29410"/>
      <w:bookmarkStart w:id="12" w:name="_Toc25133"/>
      <w:bookmarkStart w:id="13" w:name="_Toc17545"/>
      <w:bookmarkStart w:id="14" w:name="_Toc28066"/>
      <w:bookmarkStart w:id="15" w:name="_Toc24265"/>
      <w:bookmarkStart w:id="16" w:name="_Toc19692"/>
      <w:bookmarkStart w:id="17" w:name="_Toc8938"/>
      <w:bookmarkStart w:id="18" w:name="_Toc7597"/>
      <w:bookmarkStart w:id="19" w:name="_Toc19256"/>
      <w:bookmarkStart w:id="20" w:name="_Toc3347"/>
      <w:bookmarkStart w:id="21" w:name="_Toc41896028"/>
      <w:r>
        <w:rPr>
          <w:rFonts w:hint="eastAsia" w:ascii="仿宋" w:hAnsi="仿宋" w:eastAsia="仿宋" w:cs="仿宋"/>
          <w:color w:val="auto"/>
          <w:sz w:val="24"/>
          <w:szCs w:val="24"/>
          <w:highlight w:val="none"/>
        </w:rPr>
        <w:t>（一）凡有意参加比选的</w:t>
      </w: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，请自行在</w:t>
      </w:r>
      <w:r>
        <w:rPr>
          <w:rFonts w:hint="eastAsia" w:ascii="仿宋" w:hAnsi="仿宋" w:eastAsia="仿宋" w:cs="仿宋"/>
          <w:color w:val="auto"/>
          <w:kern w:val="0"/>
          <w:sz w:val="24"/>
          <w:szCs w:val="24"/>
          <w:highlight w:val="none"/>
        </w:rPr>
        <w:t>重庆市子漫人力资源服务有限公司</w:t>
      </w:r>
      <w:r>
        <w:rPr>
          <w:rFonts w:hint="eastAsia" w:ascii="仿宋" w:hAnsi="仿宋" w:eastAsia="仿宋" w:cs="仿宋"/>
          <w:color w:val="auto"/>
          <w:kern w:val="0"/>
          <w:sz w:val="24"/>
          <w:szCs w:val="24"/>
          <w:highlight w:val="none"/>
          <w:lang w:val="en-US" w:eastAsia="zh-CN"/>
        </w:rPr>
        <w:t>官网</w:t>
      </w:r>
      <w:r>
        <w:rPr>
          <w:rFonts w:hint="eastAsia" w:ascii="仿宋" w:hAnsi="仿宋" w:eastAsia="仿宋" w:cs="仿宋"/>
          <w:color w:val="auto"/>
          <w:kern w:val="0"/>
          <w:sz w:val="24"/>
          <w:szCs w:val="24"/>
          <w:highlight w:val="none"/>
        </w:rPr>
        <w:t>（https://www.cqzmwsrc.com/）</w:t>
      </w:r>
      <w:r>
        <w:rPr>
          <w:rFonts w:hint="eastAsia" w:ascii="仿宋" w:hAnsi="仿宋" w:eastAsia="仿宋" w:cs="仿宋"/>
          <w:color w:val="auto"/>
          <w:sz w:val="24"/>
          <w:szCs w:val="24"/>
          <w:highlight w:val="none"/>
        </w:rPr>
        <w:t>上下载本项目比选文件及图纸、补遗等比选前公布的所有项目资料，无论</w:t>
      </w: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下载与否，均视为已知晓所有比选实质性要求内容。</w:t>
      </w:r>
    </w:p>
    <w:p w14:paraId="4F2C61DB">
      <w:pPr>
        <w:pageBreakBefore w:val="0"/>
        <w:widowControl w:val="0"/>
        <w:kinsoku/>
        <w:wordWrap/>
        <w:overflowPunct/>
        <w:topLinePunct w:val="0"/>
        <w:autoSpaceDE/>
        <w:autoSpaceDN/>
        <w:bidi w:val="0"/>
        <w:spacing w:line="400" w:lineRule="exact"/>
        <w:ind w:left="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（二）比选文件公告期限：自比选公告发布之日（202</w:t>
      </w:r>
      <w:r>
        <w:rPr>
          <w:rFonts w:hint="eastAsia" w:ascii="仿宋" w:hAnsi="仿宋" w:eastAsia="仿宋" w:cs="仿宋"/>
          <w:color w:val="auto"/>
          <w:sz w:val="24"/>
          <w:szCs w:val="24"/>
          <w:highlight w:val="none"/>
          <w:lang w:val="en-US" w:eastAsia="zh-CN"/>
        </w:rPr>
        <w:t>6</w:t>
      </w:r>
      <w:r>
        <w:rPr>
          <w:rFonts w:hint="eastAsia" w:ascii="仿宋" w:hAnsi="仿宋" w:eastAsia="仿宋" w:cs="仿宋"/>
          <w:color w:val="auto"/>
          <w:sz w:val="24"/>
          <w:szCs w:val="24"/>
          <w:highlight w:val="none"/>
        </w:rPr>
        <w:t>年</w:t>
      </w:r>
      <w:r>
        <w:rPr>
          <w:rFonts w:hint="eastAsia" w:ascii="仿宋" w:hAnsi="仿宋" w:eastAsia="仿宋" w:cs="仿宋"/>
          <w:color w:val="auto"/>
          <w:sz w:val="24"/>
          <w:szCs w:val="24"/>
          <w:highlight w:val="none"/>
          <w:lang w:val="en-US" w:eastAsia="zh-CN"/>
        </w:rPr>
        <w:t>9</w:t>
      </w:r>
      <w:r>
        <w:rPr>
          <w:rFonts w:hint="eastAsia" w:ascii="仿宋" w:hAnsi="仿宋" w:eastAsia="仿宋" w:cs="仿宋"/>
          <w:color w:val="auto"/>
          <w:sz w:val="24"/>
          <w:szCs w:val="24"/>
          <w:highlight w:val="none"/>
        </w:rPr>
        <w:t>月</w:t>
      </w:r>
      <w:r>
        <w:rPr>
          <w:rFonts w:hint="eastAsia" w:ascii="仿宋" w:hAnsi="仿宋" w:eastAsia="仿宋" w:cs="仿宋"/>
          <w:color w:val="auto"/>
          <w:sz w:val="24"/>
          <w:szCs w:val="24"/>
          <w:highlight w:val="none"/>
          <w:lang w:val="en-US" w:eastAsia="zh-CN"/>
        </w:rPr>
        <w:t>23</w:t>
      </w:r>
      <w:r>
        <w:rPr>
          <w:rFonts w:hint="eastAsia" w:ascii="仿宋" w:hAnsi="仿宋" w:eastAsia="仿宋" w:cs="仿宋"/>
          <w:color w:val="auto"/>
          <w:sz w:val="24"/>
          <w:szCs w:val="24"/>
          <w:highlight w:val="none"/>
        </w:rPr>
        <w:t>日）起三个工作日。</w:t>
      </w:r>
    </w:p>
    <w:p w14:paraId="5A6E6911">
      <w:pPr>
        <w:pageBreakBefore w:val="0"/>
        <w:widowControl w:val="0"/>
        <w:kinsoku/>
        <w:wordWrap/>
        <w:overflowPunct/>
        <w:topLinePunct w:val="0"/>
        <w:autoSpaceDE/>
        <w:autoSpaceDN/>
        <w:bidi w:val="0"/>
        <w:spacing w:line="400" w:lineRule="exact"/>
        <w:ind w:left="0" w:firstLine="480" w:firstLineChars="200"/>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三</w:t>
      </w:r>
      <w:r>
        <w:rPr>
          <w:rFonts w:hint="eastAsia" w:ascii="仿宋" w:hAnsi="仿宋" w:eastAsia="仿宋" w:cs="仿宋"/>
          <w:color w:val="auto"/>
          <w:sz w:val="24"/>
          <w:szCs w:val="24"/>
          <w:highlight w:val="none"/>
        </w:rPr>
        <w:t>）比选文件售</w:t>
      </w:r>
      <w:r>
        <w:rPr>
          <w:rFonts w:hint="eastAsia" w:ascii="仿宋" w:hAnsi="仿宋" w:eastAsia="仿宋" w:cs="仿宋"/>
          <w:color w:val="auto"/>
          <w:sz w:val="24"/>
          <w:szCs w:val="24"/>
          <w:highlight w:val="none"/>
          <w:lang w:val="en-US" w:eastAsia="zh-CN"/>
        </w:rPr>
        <w:t>价： 300 元/分包</w:t>
      </w:r>
      <w:r>
        <w:rPr>
          <w:rFonts w:hint="eastAsia" w:ascii="仿宋" w:hAnsi="仿宋" w:eastAsia="仿宋" w:cs="仿宋"/>
          <w:color w:val="auto"/>
          <w:sz w:val="24"/>
          <w:szCs w:val="24"/>
          <w:highlight w:val="none"/>
        </w:rPr>
        <w:t>（售后不退）</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 xml:space="preserve">                                                                                                </w:t>
      </w:r>
    </w:p>
    <w:p w14:paraId="5966B8A5">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（四）竞争性比选文件购买方式：汇款购买</w:t>
      </w:r>
    </w:p>
    <w:p w14:paraId="4635E5C8">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（1）潜在参选人将《比选文件发售登记表》（加盖供应商公章）及标书费转账凭证扫描后发送至3055198377@qq.com（邮箱）。</w:t>
      </w:r>
    </w:p>
    <w:p w14:paraId="5CD4237C">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（2）收款账户：（转账时请备注供应商名称+代理项目编号）</w:t>
      </w:r>
    </w:p>
    <w:tbl>
      <w:tblPr>
        <w:tblStyle w:val="24"/>
        <w:tblW w:w="87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37"/>
        <w:gridCol w:w="6851"/>
      </w:tblGrid>
      <w:tr w14:paraId="73322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jc w:val="center"/>
        </w:trPr>
        <w:tc>
          <w:tcPr>
            <w:tcW w:w="1937" w:type="dxa"/>
            <w:noWrap/>
            <w:vAlign w:val="center"/>
          </w:tcPr>
          <w:p w14:paraId="13E92D6F">
            <w:pPr>
              <w:pageBreakBefore w:val="0"/>
              <w:widowControl/>
              <w:kinsoku/>
              <w:wordWrap/>
              <w:overflowPunct/>
              <w:topLinePunct w:val="0"/>
              <w:autoSpaceDE/>
              <w:autoSpaceDN/>
              <w:bidi w:val="0"/>
              <w:adjustRightInd/>
              <w:spacing w:line="400" w:lineRule="exact"/>
              <w:jc w:val="center"/>
              <w:textAlignment w:val="auto"/>
              <w:rPr>
                <w:rFonts w:hint="eastAsia" w:ascii="仿宋" w:hAnsi="仿宋" w:eastAsia="仿宋" w:cs="仿宋"/>
                <w:kern w:val="0"/>
                <w:sz w:val="24"/>
                <w:szCs w:val="24"/>
                <w:highlight w:val="none"/>
              </w:rPr>
            </w:pPr>
            <w:r>
              <w:rPr>
                <w:rFonts w:hint="eastAsia" w:ascii="仿宋" w:hAnsi="仿宋" w:eastAsia="仿宋" w:cs="仿宋"/>
                <w:kern w:val="0"/>
                <w:sz w:val="24"/>
                <w:szCs w:val="24"/>
                <w:highlight w:val="none"/>
              </w:rPr>
              <w:t>开户名称</w:t>
            </w:r>
          </w:p>
        </w:tc>
        <w:tc>
          <w:tcPr>
            <w:tcW w:w="6851" w:type="dxa"/>
            <w:noWrap/>
            <w:vAlign w:val="center"/>
          </w:tcPr>
          <w:p w14:paraId="5239F186">
            <w:pPr>
              <w:pageBreakBefore w:val="0"/>
              <w:widowControl/>
              <w:kinsoku/>
              <w:wordWrap/>
              <w:overflowPunct/>
              <w:topLinePunct w:val="0"/>
              <w:autoSpaceDE/>
              <w:autoSpaceDN/>
              <w:bidi w:val="0"/>
              <w:adjustRightInd/>
              <w:spacing w:line="400" w:lineRule="exact"/>
              <w:jc w:val="center"/>
              <w:textAlignment w:val="auto"/>
              <w:rPr>
                <w:rFonts w:hint="eastAsia" w:ascii="仿宋" w:hAnsi="仿宋" w:eastAsia="仿宋" w:cs="仿宋"/>
                <w:kern w:val="0"/>
                <w:sz w:val="24"/>
                <w:szCs w:val="24"/>
                <w:highlight w:val="none"/>
              </w:rPr>
            </w:pPr>
            <w:r>
              <w:rPr>
                <w:rFonts w:hint="eastAsia" w:ascii="仿宋" w:hAnsi="仿宋" w:eastAsia="仿宋" w:cs="仿宋"/>
                <w:kern w:val="0"/>
                <w:sz w:val="24"/>
                <w:szCs w:val="24"/>
                <w:highlight w:val="none"/>
              </w:rPr>
              <w:t>重庆市聚创招标代理有限公司</w:t>
            </w:r>
          </w:p>
        </w:tc>
      </w:tr>
      <w:tr w14:paraId="0DB17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1937" w:type="dxa"/>
            <w:noWrap/>
            <w:vAlign w:val="center"/>
          </w:tcPr>
          <w:p w14:paraId="64595F1C">
            <w:pPr>
              <w:pageBreakBefore w:val="0"/>
              <w:widowControl/>
              <w:kinsoku/>
              <w:wordWrap/>
              <w:overflowPunct/>
              <w:topLinePunct w:val="0"/>
              <w:autoSpaceDE/>
              <w:autoSpaceDN/>
              <w:bidi w:val="0"/>
              <w:adjustRightInd/>
              <w:spacing w:line="400" w:lineRule="exact"/>
              <w:jc w:val="center"/>
              <w:textAlignment w:val="auto"/>
              <w:rPr>
                <w:rFonts w:hint="eastAsia" w:ascii="仿宋" w:hAnsi="仿宋" w:eastAsia="仿宋" w:cs="仿宋"/>
                <w:kern w:val="0"/>
                <w:sz w:val="24"/>
                <w:szCs w:val="24"/>
                <w:highlight w:val="none"/>
              </w:rPr>
            </w:pPr>
            <w:r>
              <w:rPr>
                <w:rFonts w:hint="eastAsia" w:ascii="仿宋" w:hAnsi="仿宋" w:eastAsia="仿宋" w:cs="仿宋"/>
                <w:kern w:val="0"/>
                <w:sz w:val="24"/>
                <w:szCs w:val="24"/>
                <w:highlight w:val="none"/>
              </w:rPr>
              <w:t>开户银行</w:t>
            </w:r>
          </w:p>
        </w:tc>
        <w:tc>
          <w:tcPr>
            <w:tcW w:w="6851" w:type="dxa"/>
            <w:noWrap/>
            <w:vAlign w:val="center"/>
          </w:tcPr>
          <w:p w14:paraId="2B0C34DE">
            <w:pPr>
              <w:pageBreakBefore w:val="0"/>
              <w:widowControl/>
              <w:kinsoku/>
              <w:wordWrap/>
              <w:overflowPunct/>
              <w:topLinePunct w:val="0"/>
              <w:autoSpaceDE/>
              <w:autoSpaceDN/>
              <w:bidi w:val="0"/>
              <w:adjustRightInd/>
              <w:spacing w:line="400" w:lineRule="exact"/>
              <w:jc w:val="center"/>
              <w:textAlignment w:val="auto"/>
              <w:rPr>
                <w:rFonts w:hint="eastAsia" w:ascii="仿宋" w:hAnsi="仿宋" w:eastAsia="仿宋" w:cs="仿宋"/>
                <w:kern w:val="0"/>
                <w:sz w:val="24"/>
                <w:szCs w:val="24"/>
                <w:highlight w:val="none"/>
              </w:rPr>
            </w:pPr>
            <w:r>
              <w:rPr>
                <w:rFonts w:hint="eastAsia" w:ascii="仿宋" w:hAnsi="仿宋" w:eastAsia="仿宋" w:cs="仿宋"/>
                <w:kern w:val="0"/>
                <w:sz w:val="24"/>
                <w:szCs w:val="24"/>
                <w:highlight w:val="none"/>
              </w:rPr>
              <w:t>中国建设银行股份有限公司重庆南坪支行</w:t>
            </w:r>
          </w:p>
        </w:tc>
      </w:tr>
      <w:tr w14:paraId="67EEE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1937" w:type="dxa"/>
            <w:noWrap/>
            <w:vAlign w:val="center"/>
          </w:tcPr>
          <w:p w14:paraId="29D3D415">
            <w:pPr>
              <w:pageBreakBefore w:val="0"/>
              <w:widowControl/>
              <w:kinsoku/>
              <w:wordWrap/>
              <w:overflowPunct/>
              <w:topLinePunct w:val="0"/>
              <w:autoSpaceDE/>
              <w:autoSpaceDN/>
              <w:bidi w:val="0"/>
              <w:adjustRightInd/>
              <w:spacing w:line="400" w:lineRule="exact"/>
              <w:jc w:val="center"/>
              <w:textAlignment w:val="auto"/>
              <w:rPr>
                <w:rFonts w:hint="eastAsia" w:ascii="仿宋" w:hAnsi="仿宋" w:eastAsia="仿宋" w:cs="仿宋"/>
                <w:kern w:val="0"/>
                <w:sz w:val="24"/>
                <w:szCs w:val="24"/>
                <w:highlight w:val="none"/>
              </w:rPr>
            </w:pPr>
            <w:r>
              <w:rPr>
                <w:rFonts w:hint="eastAsia" w:ascii="仿宋" w:hAnsi="仿宋" w:eastAsia="仿宋" w:cs="仿宋"/>
                <w:kern w:val="0"/>
                <w:sz w:val="24"/>
                <w:szCs w:val="24"/>
                <w:highlight w:val="none"/>
              </w:rPr>
              <w:t>银行账号</w:t>
            </w:r>
          </w:p>
        </w:tc>
        <w:tc>
          <w:tcPr>
            <w:tcW w:w="6851" w:type="dxa"/>
            <w:noWrap/>
            <w:vAlign w:val="center"/>
          </w:tcPr>
          <w:p w14:paraId="503EBAF3">
            <w:pPr>
              <w:pageBreakBefore w:val="0"/>
              <w:widowControl/>
              <w:kinsoku/>
              <w:wordWrap/>
              <w:overflowPunct/>
              <w:topLinePunct w:val="0"/>
              <w:autoSpaceDE/>
              <w:autoSpaceDN/>
              <w:bidi w:val="0"/>
              <w:adjustRightInd/>
              <w:spacing w:line="400" w:lineRule="exact"/>
              <w:jc w:val="center"/>
              <w:textAlignment w:val="auto"/>
              <w:rPr>
                <w:rFonts w:hint="eastAsia" w:ascii="仿宋" w:hAnsi="仿宋" w:eastAsia="仿宋" w:cs="仿宋"/>
                <w:kern w:val="0"/>
                <w:sz w:val="24"/>
                <w:szCs w:val="24"/>
                <w:highlight w:val="none"/>
              </w:rPr>
            </w:pPr>
            <w:r>
              <w:rPr>
                <w:rFonts w:hint="eastAsia" w:ascii="仿宋" w:hAnsi="仿宋" w:eastAsia="仿宋" w:cs="仿宋"/>
                <w:kern w:val="0"/>
                <w:sz w:val="24"/>
                <w:szCs w:val="24"/>
                <w:highlight w:val="none"/>
              </w:rPr>
              <w:t>5005 0107 3600 0000 2102</w:t>
            </w:r>
          </w:p>
        </w:tc>
      </w:tr>
    </w:tbl>
    <w:p w14:paraId="0FB6DF72">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（3）在比选文件发售期内购买了比选文件的供应商，其报名才被接收。</w:t>
      </w:r>
    </w:p>
    <w:p w14:paraId="7D5B13C6">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（4）潜在供应商未报名不得参与比选。</w:t>
      </w:r>
    </w:p>
    <w:p w14:paraId="0D887772">
      <w:pPr>
        <w:keepNext w:val="0"/>
        <w:keepLines w:val="0"/>
        <w:pageBreakBefore w:val="0"/>
        <w:widowControl w:val="0"/>
        <w:kinsoku/>
        <w:wordWrap/>
        <w:overflowPunct/>
        <w:topLinePunct w:val="0"/>
        <w:autoSpaceDE/>
        <w:autoSpaceDN/>
        <w:bidi w:val="0"/>
        <w:adjustRightInd/>
        <w:spacing w:line="400" w:lineRule="exact"/>
        <w:ind w:left="0" w:firstLine="480" w:firstLineChars="200"/>
        <w:textAlignment w:val="auto"/>
        <w:rPr>
          <w:rFonts w:hint="eastAsia"/>
          <w:sz w:val="24"/>
          <w:szCs w:val="24"/>
          <w:highlight w:val="none"/>
          <w:lang w:val="en-US" w:eastAsia="zh-CN"/>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五</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线下</w:t>
      </w:r>
      <w:r>
        <w:rPr>
          <w:rFonts w:hint="eastAsia" w:ascii="仿宋" w:hAnsi="仿宋" w:eastAsia="仿宋" w:cs="仿宋"/>
          <w:color w:val="auto"/>
          <w:sz w:val="24"/>
          <w:szCs w:val="24"/>
          <w:highlight w:val="none"/>
        </w:rPr>
        <w:t>递交</w:t>
      </w:r>
      <w:r>
        <w:rPr>
          <w:rFonts w:hint="eastAsia" w:ascii="仿宋" w:hAnsi="仿宋" w:eastAsia="仿宋" w:cs="仿宋"/>
          <w:color w:val="auto"/>
          <w:sz w:val="24"/>
          <w:szCs w:val="24"/>
          <w:highlight w:val="none"/>
          <w:lang w:eastAsia="zh-CN"/>
        </w:rPr>
        <w:t>响应文件</w:t>
      </w:r>
      <w:r>
        <w:rPr>
          <w:rFonts w:hint="eastAsia" w:ascii="仿宋" w:hAnsi="仿宋" w:eastAsia="仿宋" w:cs="仿宋"/>
          <w:color w:val="auto"/>
          <w:sz w:val="24"/>
          <w:szCs w:val="24"/>
          <w:highlight w:val="none"/>
          <w:lang w:val="en-US" w:eastAsia="zh-CN"/>
        </w:rPr>
        <w:t>开始</w:t>
      </w:r>
      <w:r>
        <w:rPr>
          <w:rFonts w:hint="eastAsia" w:ascii="仿宋" w:hAnsi="仿宋" w:eastAsia="仿宋" w:cs="仿宋"/>
          <w:color w:val="auto"/>
          <w:sz w:val="24"/>
          <w:szCs w:val="24"/>
          <w:highlight w:val="none"/>
        </w:rPr>
        <w:t>时间：</w:t>
      </w:r>
      <w:r>
        <w:rPr>
          <w:rFonts w:hint="eastAsia" w:ascii="仿宋" w:hAnsi="仿宋" w:eastAsia="仿宋" w:cs="仿宋"/>
          <w:b/>
          <w:bCs/>
          <w:color w:val="auto"/>
          <w:sz w:val="24"/>
          <w:szCs w:val="24"/>
          <w:highlight w:val="none"/>
          <w:lang w:eastAsia="zh-CN"/>
        </w:rPr>
        <w:t>2026年</w:t>
      </w:r>
      <w:r>
        <w:rPr>
          <w:rFonts w:hint="eastAsia" w:ascii="仿宋" w:hAnsi="仿宋" w:eastAsia="仿宋" w:cs="仿宋"/>
          <w:b/>
          <w:bCs/>
          <w:color w:val="auto"/>
          <w:sz w:val="24"/>
          <w:szCs w:val="24"/>
          <w:highlight w:val="none"/>
          <w:lang w:val="en-US" w:eastAsia="zh-CN"/>
        </w:rPr>
        <w:t>9</w:t>
      </w:r>
      <w:r>
        <w:rPr>
          <w:rFonts w:hint="eastAsia" w:ascii="仿宋" w:hAnsi="仿宋" w:eastAsia="仿宋" w:cs="仿宋"/>
          <w:b/>
          <w:bCs/>
          <w:color w:val="auto"/>
          <w:sz w:val="24"/>
          <w:szCs w:val="24"/>
          <w:highlight w:val="none"/>
        </w:rPr>
        <w:t>月</w:t>
      </w:r>
      <w:r>
        <w:rPr>
          <w:rFonts w:hint="eastAsia" w:ascii="仿宋" w:hAnsi="仿宋" w:eastAsia="仿宋" w:cs="仿宋"/>
          <w:b/>
          <w:bCs/>
          <w:color w:val="auto"/>
          <w:sz w:val="24"/>
          <w:szCs w:val="24"/>
          <w:highlight w:val="none"/>
          <w:lang w:val="en-US" w:eastAsia="zh-CN"/>
        </w:rPr>
        <w:t>30</w:t>
      </w:r>
      <w:r>
        <w:rPr>
          <w:rFonts w:hint="eastAsia" w:ascii="仿宋" w:hAnsi="仿宋" w:eastAsia="仿宋" w:cs="仿宋"/>
          <w:b/>
          <w:bCs/>
          <w:color w:val="auto"/>
          <w:sz w:val="24"/>
          <w:szCs w:val="24"/>
          <w:highlight w:val="none"/>
        </w:rPr>
        <w:t>日1</w:t>
      </w:r>
      <w:r>
        <w:rPr>
          <w:rFonts w:hint="eastAsia" w:ascii="仿宋" w:hAnsi="仿宋" w:eastAsia="仿宋" w:cs="仿宋"/>
          <w:b/>
          <w:bCs/>
          <w:color w:val="auto"/>
          <w:sz w:val="24"/>
          <w:szCs w:val="24"/>
          <w:highlight w:val="none"/>
          <w:lang w:val="en-US" w:eastAsia="zh-CN"/>
        </w:rPr>
        <w:t>4</w:t>
      </w:r>
      <w:r>
        <w:rPr>
          <w:rFonts w:hint="eastAsia" w:ascii="仿宋" w:hAnsi="仿宋" w:eastAsia="仿宋" w:cs="仿宋"/>
          <w:b/>
          <w:bCs/>
          <w:color w:val="auto"/>
          <w:sz w:val="24"/>
          <w:szCs w:val="24"/>
          <w:highlight w:val="none"/>
        </w:rPr>
        <w:t>时</w:t>
      </w:r>
      <w:r>
        <w:rPr>
          <w:rFonts w:hint="eastAsia" w:ascii="仿宋" w:hAnsi="仿宋" w:eastAsia="仿宋" w:cs="仿宋"/>
          <w:b/>
          <w:bCs/>
          <w:color w:val="auto"/>
          <w:sz w:val="24"/>
          <w:szCs w:val="24"/>
          <w:highlight w:val="none"/>
          <w:lang w:val="en-US" w:eastAsia="zh-CN"/>
        </w:rPr>
        <w:t>00</w:t>
      </w:r>
      <w:r>
        <w:rPr>
          <w:rFonts w:hint="eastAsia" w:ascii="仿宋" w:hAnsi="仿宋" w:eastAsia="仿宋" w:cs="仿宋"/>
          <w:b/>
          <w:bCs/>
          <w:color w:val="auto"/>
          <w:sz w:val="24"/>
          <w:szCs w:val="24"/>
          <w:highlight w:val="none"/>
        </w:rPr>
        <w:t>分（北京时间）。</w:t>
      </w:r>
    </w:p>
    <w:p w14:paraId="3036AD86">
      <w:pPr>
        <w:keepNext w:val="0"/>
        <w:keepLines w:val="0"/>
        <w:pageBreakBefore w:val="0"/>
        <w:widowControl w:val="0"/>
        <w:kinsoku/>
        <w:wordWrap/>
        <w:overflowPunct/>
        <w:topLinePunct w:val="0"/>
        <w:autoSpaceDE/>
        <w:autoSpaceDN/>
        <w:bidi w:val="0"/>
        <w:adjustRightInd/>
        <w:spacing w:line="400" w:lineRule="exact"/>
        <w:ind w:left="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六</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线下</w:t>
      </w:r>
      <w:r>
        <w:rPr>
          <w:rFonts w:hint="eastAsia" w:ascii="仿宋" w:hAnsi="仿宋" w:eastAsia="仿宋" w:cs="仿宋"/>
          <w:color w:val="auto"/>
          <w:sz w:val="24"/>
          <w:szCs w:val="24"/>
          <w:highlight w:val="none"/>
        </w:rPr>
        <w:t>递交</w:t>
      </w:r>
      <w:r>
        <w:rPr>
          <w:rFonts w:hint="eastAsia" w:ascii="仿宋" w:hAnsi="仿宋" w:eastAsia="仿宋" w:cs="仿宋"/>
          <w:color w:val="auto"/>
          <w:sz w:val="24"/>
          <w:szCs w:val="24"/>
          <w:highlight w:val="none"/>
          <w:lang w:eastAsia="zh-CN"/>
        </w:rPr>
        <w:t>响应文件</w:t>
      </w:r>
      <w:r>
        <w:rPr>
          <w:rFonts w:hint="eastAsia" w:ascii="仿宋" w:hAnsi="仿宋" w:eastAsia="仿宋" w:cs="仿宋"/>
          <w:color w:val="auto"/>
          <w:sz w:val="24"/>
          <w:szCs w:val="24"/>
          <w:highlight w:val="none"/>
        </w:rPr>
        <w:t>截止时间：</w:t>
      </w:r>
      <w:r>
        <w:rPr>
          <w:rFonts w:hint="eastAsia" w:ascii="仿宋" w:hAnsi="仿宋" w:eastAsia="仿宋" w:cs="仿宋"/>
          <w:b/>
          <w:bCs/>
          <w:color w:val="auto"/>
          <w:sz w:val="24"/>
          <w:szCs w:val="24"/>
          <w:highlight w:val="none"/>
          <w:lang w:eastAsia="zh-CN"/>
        </w:rPr>
        <w:t>2026年</w:t>
      </w:r>
      <w:r>
        <w:rPr>
          <w:rFonts w:hint="eastAsia" w:ascii="仿宋" w:hAnsi="仿宋" w:eastAsia="仿宋" w:cs="仿宋"/>
          <w:b/>
          <w:bCs/>
          <w:color w:val="auto"/>
          <w:sz w:val="24"/>
          <w:szCs w:val="24"/>
          <w:highlight w:val="none"/>
          <w:lang w:val="en-US" w:eastAsia="zh-CN"/>
        </w:rPr>
        <w:t>9</w:t>
      </w:r>
      <w:r>
        <w:rPr>
          <w:rFonts w:hint="eastAsia" w:ascii="仿宋" w:hAnsi="仿宋" w:eastAsia="仿宋" w:cs="仿宋"/>
          <w:b/>
          <w:bCs/>
          <w:color w:val="auto"/>
          <w:sz w:val="24"/>
          <w:szCs w:val="24"/>
          <w:highlight w:val="none"/>
        </w:rPr>
        <w:t>月</w:t>
      </w:r>
      <w:r>
        <w:rPr>
          <w:rFonts w:hint="eastAsia" w:ascii="仿宋" w:hAnsi="仿宋" w:eastAsia="仿宋" w:cs="仿宋"/>
          <w:b/>
          <w:bCs/>
          <w:color w:val="auto"/>
          <w:sz w:val="24"/>
          <w:szCs w:val="24"/>
          <w:highlight w:val="none"/>
          <w:lang w:val="en-US" w:eastAsia="zh-CN"/>
        </w:rPr>
        <w:t>30</w:t>
      </w:r>
      <w:r>
        <w:rPr>
          <w:rFonts w:hint="eastAsia" w:ascii="仿宋" w:hAnsi="仿宋" w:eastAsia="仿宋" w:cs="仿宋"/>
          <w:b/>
          <w:bCs/>
          <w:color w:val="auto"/>
          <w:sz w:val="24"/>
          <w:szCs w:val="24"/>
          <w:highlight w:val="none"/>
        </w:rPr>
        <w:t>日1</w:t>
      </w:r>
      <w:r>
        <w:rPr>
          <w:rFonts w:hint="eastAsia" w:ascii="仿宋" w:hAnsi="仿宋" w:eastAsia="仿宋" w:cs="仿宋"/>
          <w:b/>
          <w:bCs/>
          <w:color w:val="auto"/>
          <w:sz w:val="24"/>
          <w:szCs w:val="24"/>
          <w:highlight w:val="none"/>
          <w:lang w:val="en-US" w:eastAsia="zh-CN"/>
        </w:rPr>
        <w:t>4</w:t>
      </w:r>
      <w:r>
        <w:rPr>
          <w:rFonts w:hint="eastAsia" w:ascii="仿宋" w:hAnsi="仿宋" w:eastAsia="仿宋" w:cs="仿宋"/>
          <w:b/>
          <w:bCs/>
          <w:color w:val="auto"/>
          <w:sz w:val="24"/>
          <w:szCs w:val="24"/>
          <w:highlight w:val="none"/>
        </w:rPr>
        <w:t>时</w:t>
      </w:r>
      <w:r>
        <w:rPr>
          <w:rFonts w:hint="eastAsia" w:ascii="仿宋" w:hAnsi="仿宋" w:eastAsia="仿宋" w:cs="仿宋"/>
          <w:b/>
          <w:bCs/>
          <w:color w:val="auto"/>
          <w:sz w:val="24"/>
          <w:szCs w:val="24"/>
          <w:highlight w:val="none"/>
          <w:lang w:val="en-US" w:eastAsia="zh-CN"/>
        </w:rPr>
        <w:t>3</w:t>
      </w:r>
      <w:r>
        <w:rPr>
          <w:rFonts w:hint="eastAsia" w:ascii="仿宋" w:hAnsi="仿宋" w:eastAsia="仿宋" w:cs="仿宋"/>
          <w:b/>
          <w:bCs/>
          <w:color w:val="auto"/>
          <w:sz w:val="24"/>
          <w:szCs w:val="24"/>
          <w:highlight w:val="none"/>
        </w:rPr>
        <w:t>0分（北京时间）。</w:t>
      </w:r>
    </w:p>
    <w:p w14:paraId="499B06F0">
      <w:pPr>
        <w:pStyle w:val="22"/>
        <w:keepNext w:val="0"/>
        <w:keepLines w:val="0"/>
        <w:pageBreakBefore w:val="0"/>
        <w:widowControl w:val="0"/>
        <w:kinsoku/>
        <w:wordWrap/>
        <w:overflowPunct/>
        <w:topLinePunct w:val="0"/>
        <w:autoSpaceDE/>
        <w:autoSpaceDN/>
        <w:bidi w:val="0"/>
        <w:adjustRightInd/>
        <w:spacing w:line="400" w:lineRule="exact"/>
        <w:ind w:left="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七</w:t>
      </w:r>
      <w:r>
        <w:rPr>
          <w:rFonts w:hint="eastAsia" w:ascii="仿宋" w:hAnsi="仿宋" w:eastAsia="仿宋" w:cs="仿宋"/>
          <w:color w:val="auto"/>
          <w:sz w:val="24"/>
          <w:szCs w:val="24"/>
          <w:highlight w:val="none"/>
        </w:rPr>
        <w:t>）比选开始时间：</w:t>
      </w:r>
      <w:r>
        <w:rPr>
          <w:rFonts w:hint="eastAsia" w:ascii="仿宋" w:hAnsi="仿宋" w:eastAsia="仿宋" w:cs="仿宋"/>
          <w:b/>
          <w:bCs/>
          <w:color w:val="auto"/>
          <w:sz w:val="24"/>
          <w:szCs w:val="24"/>
          <w:highlight w:val="none"/>
          <w:lang w:eastAsia="zh-CN"/>
        </w:rPr>
        <w:t>2026年</w:t>
      </w:r>
      <w:r>
        <w:rPr>
          <w:rFonts w:hint="eastAsia" w:ascii="仿宋" w:hAnsi="仿宋" w:eastAsia="仿宋" w:cs="仿宋"/>
          <w:b/>
          <w:bCs/>
          <w:color w:val="auto"/>
          <w:sz w:val="24"/>
          <w:szCs w:val="24"/>
          <w:highlight w:val="none"/>
          <w:lang w:val="en-US" w:eastAsia="zh-CN"/>
        </w:rPr>
        <w:t>9</w:t>
      </w:r>
      <w:r>
        <w:rPr>
          <w:rFonts w:hint="eastAsia" w:ascii="仿宋" w:hAnsi="仿宋" w:eastAsia="仿宋" w:cs="仿宋"/>
          <w:b/>
          <w:bCs/>
          <w:color w:val="auto"/>
          <w:sz w:val="24"/>
          <w:szCs w:val="24"/>
          <w:highlight w:val="none"/>
        </w:rPr>
        <w:t>月</w:t>
      </w:r>
      <w:r>
        <w:rPr>
          <w:rFonts w:hint="eastAsia" w:ascii="仿宋" w:hAnsi="仿宋" w:eastAsia="仿宋" w:cs="仿宋"/>
          <w:b/>
          <w:bCs/>
          <w:color w:val="auto"/>
          <w:sz w:val="24"/>
          <w:szCs w:val="24"/>
          <w:highlight w:val="none"/>
          <w:lang w:val="en-US" w:eastAsia="zh-CN"/>
        </w:rPr>
        <w:t>30</w:t>
      </w:r>
      <w:r>
        <w:rPr>
          <w:rFonts w:hint="eastAsia" w:ascii="仿宋" w:hAnsi="仿宋" w:eastAsia="仿宋" w:cs="仿宋"/>
          <w:b/>
          <w:bCs/>
          <w:color w:val="auto"/>
          <w:sz w:val="24"/>
          <w:szCs w:val="24"/>
          <w:highlight w:val="none"/>
        </w:rPr>
        <w:t>日1</w:t>
      </w:r>
      <w:r>
        <w:rPr>
          <w:rFonts w:hint="eastAsia" w:ascii="仿宋" w:hAnsi="仿宋" w:eastAsia="仿宋" w:cs="仿宋"/>
          <w:b/>
          <w:bCs/>
          <w:color w:val="auto"/>
          <w:sz w:val="24"/>
          <w:szCs w:val="24"/>
          <w:highlight w:val="none"/>
          <w:lang w:val="en-US" w:eastAsia="zh-CN"/>
        </w:rPr>
        <w:t>4</w:t>
      </w:r>
      <w:r>
        <w:rPr>
          <w:rFonts w:hint="eastAsia" w:ascii="仿宋" w:hAnsi="仿宋" w:eastAsia="仿宋" w:cs="仿宋"/>
          <w:b/>
          <w:bCs/>
          <w:color w:val="auto"/>
          <w:sz w:val="24"/>
          <w:szCs w:val="24"/>
          <w:highlight w:val="none"/>
        </w:rPr>
        <w:t>时</w:t>
      </w:r>
      <w:r>
        <w:rPr>
          <w:rFonts w:hint="eastAsia" w:ascii="仿宋" w:hAnsi="仿宋" w:eastAsia="仿宋" w:cs="仿宋"/>
          <w:b/>
          <w:bCs/>
          <w:color w:val="auto"/>
          <w:sz w:val="24"/>
          <w:szCs w:val="24"/>
          <w:highlight w:val="none"/>
          <w:lang w:val="en-US" w:eastAsia="zh-CN"/>
        </w:rPr>
        <w:t>3</w:t>
      </w:r>
      <w:r>
        <w:rPr>
          <w:rFonts w:hint="eastAsia" w:ascii="仿宋" w:hAnsi="仿宋" w:eastAsia="仿宋" w:cs="仿宋"/>
          <w:b/>
          <w:bCs/>
          <w:color w:val="auto"/>
          <w:sz w:val="24"/>
          <w:szCs w:val="24"/>
          <w:highlight w:val="none"/>
        </w:rPr>
        <w:t>0分（北京时间）。</w:t>
      </w:r>
    </w:p>
    <w:p w14:paraId="482BF159">
      <w:pPr>
        <w:keepNext w:val="0"/>
        <w:keepLines w:val="0"/>
        <w:pageBreakBefore w:val="0"/>
        <w:widowControl w:val="0"/>
        <w:kinsoku/>
        <w:wordWrap/>
        <w:overflowPunct/>
        <w:topLinePunct w:val="0"/>
        <w:autoSpaceDE/>
        <w:autoSpaceDN/>
        <w:bidi w:val="0"/>
        <w:adjustRightInd/>
        <w:spacing w:line="400" w:lineRule="exact"/>
        <w:ind w:left="0" w:firstLine="480" w:firstLineChars="200"/>
        <w:textAlignment w:val="auto"/>
        <w:rPr>
          <w:rFonts w:hint="eastAsia" w:ascii="仿宋" w:hAnsi="仿宋" w:eastAsia="仿宋" w:cs="仿宋"/>
          <w:color w:val="auto"/>
          <w:sz w:val="24"/>
          <w:szCs w:val="24"/>
          <w:highlight w:val="none"/>
          <w:u w:val="none"/>
          <w:lang w:val="en-US" w:eastAsia="zh-CN"/>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八</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线下</w:t>
      </w:r>
      <w:r>
        <w:rPr>
          <w:rFonts w:hint="eastAsia" w:ascii="仿宋" w:hAnsi="仿宋" w:eastAsia="仿宋" w:cs="仿宋"/>
          <w:color w:val="auto"/>
          <w:sz w:val="24"/>
          <w:szCs w:val="24"/>
          <w:highlight w:val="none"/>
        </w:rPr>
        <w:t>递交</w:t>
      </w:r>
      <w:r>
        <w:rPr>
          <w:rFonts w:hint="eastAsia" w:ascii="仿宋" w:hAnsi="仿宋" w:eastAsia="仿宋" w:cs="仿宋"/>
          <w:color w:val="auto"/>
          <w:sz w:val="24"/>
          <w:szCs w:val="24"/>
          <w:highlight w:val="none"/>
          <w:lang w:eastAsia="zh-CN"/>
        </w:rPr>
        <w:t>响应文件</w:t>
      </w:r>
      <w:r>
        <w:rPr>
          <w:rFonts w:hint="eastAsia" w:ascii="仿宋" w:hAnsi="仿宋" w:eastAsia="仿宋" w:cs="仿宋"/>
          <w:color w:val="auto"/>
          <w:sz w:val="24"/>
          <w:szCs w:val="24"/>
          <w:highlight w:val="none"/>
        </w:rPr>
        <w:t>地点：</w:t>
      </w:r>
      <w:r>
        <w:rPr>
          <w:rFonts w:hint="eastAsia" w:ascii="仿宋" w:hAnsi="仿宋" w:eastAsia="仿宋" w:cs="仿宋"/>
          <w:color w:val="auto"/>
          <w:sz w:val="24"/>
          <w:szCs w:val="24"/>
          <w:highlight w:val="none"/>
          <w:u w:val="none"/>
          <w:lang w:val="en-US" w:eastAsia="zh-CN"/>
        </w:rPr>
        <w:t>重庆市南岸区四公里万凯新都会B栋11-2</w:t>
      </w:r>
    </w:p>
    <w:p w14:paraId="212E7A38">
      <w:pPr>
        <w:keepNext w:val="0"/>
        <w:keepLines w:val="0"/>
        <w:pageBreakBefore w:val="0"/>
        <w:widowControl w:val="0"/>
        <w:kinsoku/>
        <w:wordWrap/>
        <w:overflowPunct/>
        <w:topLinePunct w:val="0"/>
        <w:autoSpaceDE/>
        <w:autoSpaceDN/>
        <w:bidi w:val="0"/>
        <w:adjustRightInd/>
        <w:spacing w:line="400" w:lineRule="exact"/>
        <w:ind w:left="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九</w:t>
      </w:r>
      <w:r>
        <w:rPr>
          <w:rFonts w:hint="eastAsia" w:ascii="仿宋" w:hAnsi="仿宋" w:eastAsia="仿宋" w:cs="仿宋"/>
          <w:color w:val="auto"/>
          <w:sz w:val="24"/>
          <w:szCs w:val="24"/>
          <w:highlight w:val="none"/>
        </w:rPr>
        <w:t>）比选地点：</w:t>
      </w:r>
      <w:r>
        <w:rPr>
          <w:rFonts w:hint="eastAsia" w:ascii="仿宋" w:hAnsi="仿宋" w:eastAsia="仿宋" w:cs="仿宋"/>
          <w:b/>
          <w:bCs/>
          <w:color w:val="auto"/>
          <w:sz w:val="24"/>
          <w:szCs w:val="24"/>
          <w:highlight w:val="none"/>
        </w:rPr>
        <w:t>同递交</w:t>
      </w:r>
      <w:r>
        <w:rPr>
          <w:rFonts w:hint="eastAsia" w:ascii="仿宋" w:hAnsi="仿宋" w:eastAsia="仿宋" w:cs="仿宋"/>
          <w:b/>
          <w:bCs/>
          <w:color w:val="auto"/>
          <w:sz w:val="24"/>
          <w:szCs w:val="24"/>
          <w:highlight w:val="none"/>
          <w:lang w:eastAsia="zh-CN"/>
        </w:rPr>
        <w:t>响应文件</w:t>
      </w:r>
      <w:r>
        <w:rPr>
          <w:rFonts w:hint="eastAsia" w:ascii="仿宋" w:hAnsi="仿宋" w:eastAsia="仿宋" w:cs="仿宋"/>
          <w:b/>
          <w:bCs/>
          <w:color w:val="auto"/>
          <w:sz w:val="24"/>
          <w:szCs w:val="24"/>
          <w:highlight w:val="none"/>
        </w:rPr>
        <w:t>地点。</w:t>
      </w:r>
    </w:p>
    <w:bookmarkEnd w:id="10"/>
    <w:bookmarkEnd w:id="11"/>
    <w:bookmarkEnd w:id="12"/>
    <w:bookmarkEnd w:id="13"/>
    <w:bookmarkEnd w:id="14"/>
    <w:bookmarkEnd w:id="15"/>
    <w:p w14:paraId="4EECE268">
      <w:pPr>
        <w:pStyle w:val="3"/>
        <w:pageBreakBefore w:val="0"/>
        <w:widowControl w:val="0"/>
        <w:numPr>
          <w:ilvl w:val="0"/>
          <w:numId w:val="0"/>
        </w:numPr>
        <w:kinsoku/>
        <w:wordWrap/>
        <w:overflowPunct/>
        <w:topLinePunct w:val="0"/>
        <w:autoSpaceDE/>
        <w:autoSpaceDN/>
        <w:bidi w:val="0"/>
        <w:spacing w:line="400" w:lineRule="exact"/>
        <w:textAlignment w:val="auto"/>
        <w:rPr>
          <w:rFonts w:hint="eastAsia" w:ascii="仿宋" w:hAnsi="仿宋" w:eastAsia="仿宋" w:cs="仿宋"/>
          <w:b/>
          <w:color w:val="auto"/>
          <w:kern w:val="2"/>
          <w:sz w:val="24"/>
          <w:szCs w:val="24"/>
          <w:highlight w:val="none"/>
          <w:lang w:val="en-US" w:eastAsia="zh-CN" w:bidi="ar-SA"/>
        </w:rPr>
      </w:pPr>
      <w:bookmarkStart w:id="22" w:name="_Toc2043"/>
      <w:r>
        <w:rPr>
          <w:rFonts w:hint="eastAsia" w:ascii="仿宋" w:hAnsi="仿宋" w:eastAsia="仿宋" w:cs="仿宋"/>
          <w:b/>
          <w:color w:val="auto"/>
          <w:kern w:val="2"/>
          <w:sz w:val="24"/>
          <w:szCs w:val="24"/>
          <w:highlight w:val="none"/>
          <w:lang w:val="en-US" w:eastAsia="zh-CN" w:bidi="ar-SA"/>
        </w:rPr>
        <w:t>五、比选保证金</w:t>
      </w:r>
      <w:bookmarkEnd w:id="16"/>
      <w:bookmarkEnd w:id="17"/>
      <w:bookmarkEnd w:id="18"/>
      <w:bookmarkEnd w:id="19"/>
      <w:bookmarkEnd w:id="20"/>
      <w:bookmarkEnd w:id="21"/>
      <w:bookmarkEnd w:id="22"/>
    </w:p>
    <w:p w14:paraId="1AD36B30">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本项目不收取比选保证金。</w:t>
      </w:r>
    </w:p>
    <w:p w14:paraId="62650A3F">
      <w:pPr>
        <w:pStyle w:val="3"/>
        <w:pageBreakBefore w:val="0"/>
        <w:widowControl w:val="0"/>
        <w:numPr>
          <w:ilvl w:val="0"/>
          <w:numId w:val="0"/>
        </w:numPr>
        <w:kinsoku/>
        <w:wordWrap/>
        <w:overflowPunct/>
        <w:topLinePunct w:val="0"/>
        <w:autoSpaceDE/>
        <w:autoSpaceDN/>
        <w:bidi w:val="0"/>
        <w:spacing w:line="400" w:lineRule="exact"/>
        <w:textAlignment w:val="auto"/>
        <w:rPr>
          <w:rFonts w:hint="eastAsia" w:ascii="仿宋" w:hAnsi="仿宋" w:eastAsia="仿宋" w:cs="仿宋"/>
          <w:b/>
          <w:color w:val="auto"/>
          <w:kern w:val="2"/>
          <w:sz w:val="24"/>
          <w:szCs w:val="24"/>
          <w:highlight w:val="none"/>
          <w:lang w:val="en-US" w:eastAsia="zh-CN" w:bidi="ar-SA"/>
        </w:rPr>
      </w:pPr>
      <w:bookmarkStart w:id="23" w:name="_Toc41896029"/>
      <w:bookmarkStart w:id="24" w:name="_Toc26638"/>
      <w:bookmarkStart w:id="25" w:name="_Toc26138"/>
      <w:bookmarkStart w:id="26" w:name="_Toc2967"/>
      <w:bookmarkStart w:id="27" w:name="_Toc24999"/>
      <w:bookmarkStart w:id="28" w:name="_Toc8089"/>
      <w:bookmarkStart w:id="29" w:name="_Toc20652"/>
      <w:r>
        <w:rPr>
          <w:rFonts w:hint="eastAsia" w:ascii="仿宋" w:hAnsi="仿宋" w:eastAsia="仿宋" w:cs="仿宋"/>
          <w:b/>
          <w:color w:val="auto"/>
          <w:kern w:val="2"/>
          <w:sz w:val="24"/>
          <w:szCs w:val="24"/>
          <w:highlight w:val="none"/>
          <w:lang w:val="en-US" w:eastAsia="zh-CN" w:bidi="ar-SA"/>
        </w:rPr>
        <w:t>六、其它有关规定</w:t>
      </w:r>
      <w:bookmarkEnd w:id="23"/>
      <w:bookmarkEnd w:id="24"/>
      <w:bookmarkEnd w:id="25"/>
      <w:bookmarkEnd w:id="26"/>
      <w:bookmarkEnd w:id="27"/>
      <w:bookmarkEnd w:id="28"/>
      <w:bookmarkEnd w:id="29"/>
    </w:p>
    <w:p w14:paraId="79B665EA">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（一）单位负责人为同一人或者存在直接控股、管理关系的不同供应商，不得参加同一合同项（分包）下的比选活动，否则均为无效比选。</w:t>
      </w:r>
    </w:p>
    <w:p w14:paraId="0903D25F">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（二）为项目提供整体设计、规范编制或者项目管理、监理、检测等服务的供应商，不得再参加该项目的其他比选活动。</w:t>
      </w:r>
    </w:p>
    <w:p w14:paraId="5CF7E874">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三）本项目的补遗文件（如果有）一律在重庆市子漫人力资源服务有限公司官网（https://www.cqzmwsrc.com/）上发布，请各供应商注意自行下载；无论供应商下载与否，均视同供应商已知晓本项目补遗文件（如果有）的内容。</w:t>
      </w:r>
    </w:p>
    <w:p w14:paraId="36607A71">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（四）超过比选文件截止时间递交的响应文件，恕不接收。</w:t>
      </w:r>
    </w:p>
    <w:p w14:paraId="6ADFBFD6">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（五）比选费用：无论比选结果如何，供应商参与本项目比选的所有费用均应由供应商自行承担。</w:t>
      </w:r>
    </w:p>
    <w:p w14:paraId="7882F98B">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outlineLvl w:val="9"/>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（六）本项目不接受联合体参与比选，否则按无效处理。</w:t>
      </w:r>
    </w:p>
    <w:p w14:paraId="47E781D7">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outlineLvl w:val="9"/>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（七）本项目不接受合同分包，否则按无效处理。</w:t>
      </w:r>
    </w:p>
    <w:p w14:paraId="34CD34C7">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（八）列入失信被执行人、重大税收违法案件当事人名单、政府采购严重违法失信行为记录名单及其他不符合《中华人民共和国政府采购法》第二十二条规定条件的供应商，将拒绝其参与比选活动。</w:t>
      </w:r>
    </w:p>
    <w:p w14:paraId="066E85E1">
      <w:pPr>
        <w:pStyle w:val="3"/>
        <w:pageBreakBefore w:val="0"/>
        <w:widowControl w:val="0"/>
        <w:numPr>
          <w:ilvl w:val="0"/>
          <w:numId w:val="0"/>
        </w:numPr>
        <w:kinsoku/>
        <w:wordWrap/>
        <w:overflowPunct/>
        <w:topLinePunct w:val="0"/>
        <w:autoSpaceDE/>
        <w:autoSpaceDN/>
        <w:bidi w:val="0"/>
        <w:spacing w:line="400" w:lineRule="exact"/>
        <w:textAlignment w:val="auto"/>
        <w:rPr>
          <w:rFonts w:hint="eastAsia" w:ascii="仿宋" w:hAnsi="仿宋" w:eastAsia="仿宋" w:cs="仿宋"/>
          <w:b/>
          <w:color w:val="auto"/>
          <w:kern w:val="2"/>
          <w:sz w:val="24"/>
          <w:szCs w:val="24"/>
          <w:highlight w:val="none"/>
          <w:lang w:val="en-US" w:eastAsia="zh-CN" w:bidi="ar-SA"/>
        </w:rPr>
      </w:pPr>
      <w:bookmarkStart w:id="30" w:name="_Toc41896030"/>
      <w:bookmarkStart w:id="31" w:name="_Toc9761"/>
      <w:bookmarkStart w:id="32" w:name="_Toc24760"/>
      <w:bookmarkStart w:id="33" w:name="_Toc20501"/>
      <w:bookmarkStart w:id="34" w:name="_Toc1801"/>
      <w:bookmarkStart w:id="35" w:name="_Toc1273"/>
      <w:bookmarkStart w:id="36" w:name="_Toc10824"/>
      <w:r>
        <w:rPr>
          <w:rFonts w:hint="eastAsia" w:ascii="仿宋" w:hAnsi="仿宋" w:eastAsia="仿宋" w:cs="仿宋"/>
          <w:b/>
          <w:color w:val="auto"/>
          <w:kern w:val="2"/>
          <w:sz w:val="24"/>
          <w:szCs w:val="24"/>
          <w:highlight w:val="none"/>
          <w:lang w:val="en-US" w:eastAsia="zh-CN" w:bidi="ar-SA"/>
        </w:rPr>
        <w:t>七、联系方式</w:t>
      </w:r>
      <w:bookmarkEnd w:id="30"/>
      <w:bookmarkEnd w:id="31"/>
      <w:bookmarkEnd w:id="32"/>
      <w:bookmarkEnd w:id="33"/>
      <w:bookmarkEnd w:id="34"/>
      <w:bookmarkEnd w:id="35"/>
      <w:bookmarkEnd w:id="36"/>
    </w:p>
    <w:p w14:paraId="431AEEE9">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（一）采购人：重庆市子漫人力资源服务有限公司、重庆市子漫人力资源服务有限公司伊顿物业分公司</w:t>
      </w:r>
    </w:p>
    <w:p w14:paraId="194738E3">
      <w:pPr>
        <w:pageBreakBefore w:val="0"/>
        <w:kinsoku/>
        <w:wordWrap/>
        <w:overflowPunct/>
        <w:topLinePunct w:val="0"/>
        <w:autoSpaceDE/>
        <w:autoSpaceDN/>
        <w:bidi w:val="0"/>
        <w:snapToGrid w:val="0"/>
        <w:spacing w:line="400" w:lineRule="exact"/>
        <w:ind w:firstLine="480" w:firstLineChars="200"/>
        <w:textAlignment w:val="auto"/>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联系人：张老师  孙老师</w:t>
      </w:r>
    </w:p>
    <w:p w14:paraId="1D66DF62">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电  话：17708387718  15123227640</w:t>
      </w:r>
    </w:p>
    <w:p w14:paraId="29B06A68">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地  址：重庆市两江新区春华大道99号中国重庆人力资源服务产业园北区6号楼</w:t>
      </w:r>
    </w:p>
    <w:p w14:paraId="6C73F6EE">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（二）采购代理机构：重庆市聚创招标代理有限公司</w:t>
      </w:r>
    </w:p>
    <w:p w14:paraId="5FA1C6C8">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联系人：孙伟 黄希 张文艺 邹妍妍</w:t>
      </w:r>
    </w:p>
    <w:p w14:paraId="3CAC0DD7">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电话： 17830748319</w:t>
      </w:r>
    </w:p>
    <w:p w14:paraId="533C324B">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地址：重庆市南岸区四公里万凯新都会B栋11-2</w:t>
      </w:r>
    </w:p>
    <w:p w14:paraId="59A4AAE2">
      <w:pPr>
        <w:pStyle w:val="2"/>
        <w:pageBreakBefore w:val="0"/>
        <w:kinsoku/>
        <w:wordWrap/>
        <w:overflowPunct/>
        <w:topLinePunct w:val="0"/>
        <w:autoSpaceDE/>
        <w:autoSpaceDN/>
        <w:bidi w:val="0"/>
        <w:spacing w:before="0" w:beforeLines="0" w:after="0" w:afterLines="0" w:line="400" w:lineRule="exact"/>
        <w:textAlignment w:val="auto"/>
        <w:rPr>
          <w:rFonts w:hint="eastAsia" w:ascii="仿宋" w:hAnsi="仿宋" w:eastAsia="仿宋" w:cs="仿宋"/>
          <w:color w:val="auto"/>
          <w:sz w:val="24"/>
          <w:szCs w:val="24"/>
          <w:highlight w:val="none"/>
        </w:rPr>
      </w:pPr>
      <w:bookmarkStart w:id="37" w:name="_Toc30387"/>
      <w:r>
        <w:rPr>
          <w:rFonts w:hint="eastAsia" w:ascii="仿宋" w:hAnsi="仿宋" w:eastAsia="仿宋" w:cs="仿宋"/>
          <w:color w:val="auto"/>
          <w:sz w:val="24"/>
          <w:szCs w:val="24"/>
          <w:highlight w:val="none"/>
        </w:rPr>
        <w:br w:type="page"/>
      </w:r>
      <w:bookmarkStart w:id="38" w:name="_Toc1292"/>
      <w:bookmarkStart w:id="39" w:name="_Toc65660338"/>
      <w:bookmarkStart w:id="40" w:name="_Toc11327"/>
      <w:bookmarkStart w:id="41" w:name="_Toc14516"/>
      <w:bookmarkStart w:id="42" w:name="_Toc3739"/>
      <w:bookmarkStart w:id="43" w:name="_Toc735"/>
    </w:p>
    <w:p w14:paraId="348C1D70">
      <w:pPr>
        <w:pStyle w:val="2"/>
        <w:pageBreakBefore w:val="0"/>
        <w:kinsoku/>
        <w:wordWrap/>
        <w:overflowPunct/>
        <w:topLinePunct w:val="0"/>
        <w:autoSpaceDE/>
        <w:autoSpaceDN/>
        <w:bidi w:val="0"/>
        <w:spacing w:before="0" w:beforeLines="0" w:after="0" w:afterLines="0" w:line="400" w:lineRule="exact"/>
        <w:textAlignment w:val="auto"/>
        <w:rPr>
          <w:rFonts w:hint="eastAsia" w:ascii="仿宋" w:hAnsi="仿宋" w:eastAsia="仿宋" w:cs="仿宋"/>
          <w:color w:val="auto"/>
          <w:sz w:val="24"/>
          <w:szCs w:val="24"/>
          <w:highlight w:val="none"/>
        </w:rPr>
      </w:pPr>
    </w:p>
    <w:p w14:paraId="2B8F0353">
      <w:pPr>
        <w:pStyle w:val="2"/>
        <w:keepNext/>
        <w:keepLines w:val="0"/>
        <w:pageBreakBefore w:val="0"/>
        <w:widowControl w:val="0"/>
        <w:kinsoku/>
        <w:wordWrap/>
        <w:overflowPunct/>
        <w:topLinePunct w:val="0"/>
        <w:autoSpaceDE/>
        <w:autoSpaceDN/>
        <w:bidi w:val="0"/>
        <w:adjustRightInd/>
        <w:snapToGrid w:val="0"/>
        <w:spacing w:before="0" w:beforeLines="0" w:after="0" w:afterLines="0" w:line="360" w:lineRule="auto"/>
        <w:textAlignment w:val="auto"/>
        <w:rPr>
          <w:rFonts w:hint="eastAsia" w:ascii="仿宋" w:hAnsi="仿宋" w:eastAsia="仿宋" w:cs="仿宋"/>
          <w:color w:val="auto"/>
          <w:highlight w:val="none"/>
        </w:rPr>
      </w:pPr>
      <w:r>
        <w:rPr>
          <w:rFonts w:hint="eastAsia" w:ascii="仿宋" w:hAnsi="仿宋" w:eastAsia="仿宋" w:cs="仿宋"/>
          <w:b/>
          <w:bCs/>
          <w:color w:val="auto"/>
          <w:sz w:val="44"/>
          <w:szCs w:val="44"/>
          <w:highlight w:val="none"/>
        </w:rPr>
        <w:t xml:space="preserve">第二篇  </w:t>
      </w:r>
      <w:bookmarkEnd w:id="38"/>
      <w:bookmarkEnd w:id="39"/>
      <w:bookmarkEnd w:id="40"/>
      <w:bookmarkEnd w:id="41"/>
      <w:r>
        <w:rPr>
          <w:rFonts w:hint="eastAsia" w:ascii="仿宋" w:hAnsi="仿宋" w:eastAsia="仿宋" w:cs="仿宋"/>
          <w:b/>
          <w:bCs/>
          <w:color w:val="auto"/>
          <w:sz w:val="44"/>
          <w:szCs w:val="44"/>
          <w:highlight w:val="none"/>
        </w:rPr>
        <w:t>项目</w:t>
      </w:r>
      <w:r>
        <w:rPr>
          <w:rFonts w:hint="eastAsia" w:ascii="仿宋" w:hAnsi="仿宋" w:eastAsia="仿宋" w:cs="仿宋"/>
          <w:b/>
          <w:bCs/>
          <w:color w:val="auto"/>
          <w:sz w:val="44"/>
          <w:szCs w:val="44"/>
          <w:highlight w:val="none"/>
          <w:lang w:val="en-US" w:eastAsia="zh-CN"/>
        </w:rPr>
        <w:t>服务</w:t>
      </w:r>
      <w:r>
        <w:rPr>
          <w:rFonts w:hint="eastAsia" w:ascii="仿宋" w:hAnsi="仿宋" w:eastAsia="仿宋" w:cs="仿宋"/>
          <w:b/>
          <w:bCs/>
          <w:color w:val="auto"/>
          <w:sz w:val="44"/>
          <w:szCs w:val="44"/>
          <w:highlight w:val="none"/>
        </w:rPr>
        <w:t>需求</w:t>
      </w:r>
      <w:bookmarkEnd w:id="42"/>
      <w:bookmarkEnd w:id="43"/>
    </w:p>
    <w:p w14:paraId="1FC36825">
      <w:pPr>
        <w:pStyle w:val="3"/>
        <w:pageBreakBefore w:val="0"/>
        <w:widowControl w:val="0"/>
        <w:numPr>
          <w:ilvl w:val="0"/>
          <w:numId w:val="0"/>
        </w:numPr>
        <w:kinsoku/>
        <w:wordWrap/>
        <w:overflowPunct/>
        <w:topLinePunct w:val="0"/>
        <w:autoSpaceDE/>
        <w:autoSpaceDN/>
        <w:bidi w:val="0"/>
        <w:spacing w:line="400" w:lineRule="exact"/>
        <w:textAlignment w:val="auto"/>
        <w:rPr>
          <w:rFonts w:hint="eastAsia" w:ascii="仿宋" w:hAnsi="仿宋" w:eastAsia="仿宋" w:cs="仿宋"/>
          <w:b/>
          <w:color w:val="auto"/>
          <w:kern w:val="2"/>
          <w:sz w:val="24"/>
          <w:szCs w:val="24"/>
          <w:lang w:val="en-US" w:eastAsia="zh-CN" w:bidi="ar-SA"/>
        </w:rPr>
      </w:pPr>
      <w:bookmarkStart w:id="44" w:name="_Toc24129"/>
      <w:bookmarkStart w:id="45" w:name="_Toc65660339"/>
      <w:bookmarkStart w:id="46" w:name="_Toc26971"/>
      <w:bookmarkStart w:id="47" w:name="_Toc446"/>
      <w:bookmarkStart w:id="48" w:name="_Toc477"/>
      <w:bookmarkStart w:id="49" w:name="_Toc181"/>
      <w:r>
        <w:rPr>
          <w:rFonts w:hint="eastAsia" w:ascii="仿宋" w:hAnsi="仿宋" w:eastAsia="仿宋" w:cs="仿宋"/>
          <w:b/>
          <w:color w:val="auto"/>
          <w:kern w:val="2"/>
          <w:sz w:val="24"/>
          <w:szCs w:val="24"/>
          <w:lang w:val="en-US" w:eastAsia="zh-CN" w:bidi="ar-SA"/>
        </w:rPr>
        <w:t>一、项目一览表</w:t>
      </w:r>
      <w:bookmarkEnd w:id="44"/>
      <w:bookmarkEnd w:id="45"/>
      <w:bookmarkEnd w:id="46"/>
      <w:bookmarkEnd w:id="47"/>
      <w:bookmarkEnd w:id="48"/>
      <w:bookmarkEnd w:id="49"/>
    </w:p>
    <w:tbl>
      <w:tblPr>
        <w:tblStyle w:val="24"/>
        <w:tblW w:w="101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0"/>
        <w:gridCol w:w="4516"/>
        <w:gridCol w:w="1927"/>
        <w:gridCol w:w="2915"/>
      </w:tblGrid>
      <w:tr w14:paraId="6CC60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jc w:val="center"/>
        </w:trPr>
        <w:tc>
          <w:tcPr>
            <w:tcW w:w="800" w:type="dxa"/>
            <w:vAlign w:val="center"/>
          </w:tcPr>
          <w:p w14:paraId="2DAC500F">
            <w:pPr>
              <w:keepNext w:val="0"/>
              <w:keepLines w:val="0"/>
              <w:pageBreakBefore w:val="0"/>
              <w:widowControl w:val="0"/>
              <w:kinsoku/>
              <w:wordWrap/>
              <w:overflowPunct/>
              <w:topLinePunct w:val="0"/>
              <w:autoSpaceDE/>
              <w:autoSpaceDN/>
              <w:bidi w:val="0"/>
              <w:adjustRightInd/>
              <w:snapToGrid/>
              <w:spacing w:line="400" w:lineRule="exact"/>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序号</w:t>
            </w:r>
          </w:p>
        </w:tc>
        <w:tc>
          <w:tcPr>
            <w:tcW w:w="4516" w:type="dxa"/>
            <w:vAlign w:val="center"/>
          </w:tcPr>
          <w:p w14:paraId="7375696B">
            <w:pPr>
              <w:keepNext w:val="0"/>
              <w:keepLines w:val="0"/>
              <w:pageBreakBefore w:val="0"/>
              <w:widowControl w:val="0"/>
              <w:kinsoku/>
              <w:wordWrap/>
              <w:overflowPunct/>
              <w:topLinePunct w:val="0"/>
              <w:autoSpaceDE/>
              <w:autoSpaceDN/>
              <w:bidi w:val="0"/>
              <w:adjustRightInd/>
              <w:snapToGrid/>
              <w:spacing w:line="400" w:lineRule="exact"/>
              <w:ind w:firstLine="960" w:firstLineChars="4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项目名称</w:t>
            </w:r>
          </w:p>
        </w:tc>
        <w:tc>
          <w:tcPr>
            <w:tcW w:w="1927" w:type="dxa"/>
            <w:vAlign w:val="center"/>
          </w:tcPr>
          <w:p w14:paraId="380C15F0">
            <w:pPr>
              <w:keepNext w:val="0"/>
              <w:keepLines w:val="0"/>
              <w:pageBreakBefore w:val="0"/>
              <w:widowControl w:val="0"/>
              <w:kinsoku/>
              <w:wordWrap/>
              <w:overflowPunct/>
              <w:topLinePunct w:val="0"/>
              <w:autoSpaceDE/>
              <w:autoSpaceDN/>
              <w:bidi w:val="0"/>
              <w:adjustRightInd/>
              <w:snapToGrid/>
              <w:spacing w:line="400" w:lineRule="exact"/>
              <w:ind w:firstLine="240" w:firstLineChars="1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数量/单位</w:t>
            </w:r>
          </w:p>
        </w:tc>
        <w:tc>
          <w:tcPr>
            <w:tcW w:w="2915" w:type="dxa"/>
            <w:vAlign w:val="center"/>
          </w:tcPr>
          <w:p w14:paraId="62AB7DB4">
            <w:pPr>
              <w:keepNext w:val="0"/>
              <w:keepLines w:val="0"/>
              <w:pageBreakBefore w:val="0"/>
              <w:widowControl w:val="0"/>
              <w:kinsoku/>
              <w:wordWrap/>
              <w:overflowPunct/>
              <w:topLinePunct w:val="0"/>
              <w:autoSpaceDE/>
              <w:autoSpaceDN/>
              <w:bidi w:val="0"/>
              <w:adjustRightInd/>
              <w:snapToGrid/>
              <w:spacing w:line="400" w:lineRule="exact"/>
              <w:ind w:firstLine="960" w:firstLineChars="4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备注</w:t>
            </w:r>
          </w:p>
        </w:tc>
      </w:tr>
      <w:tr w14:paraId="4C77F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800" w:type="dxa"/>
            <w:vAlign w:val="center"/>
          </w:tcPr>
          <w:p w14:paraId="1D0AE905">
            <w:pPr>
              <w:keepNext w:val="0"/>
              <w:keepLines w:val="0"/>
              <w:pageBreakBefore w:val="0"/>
              <w:widowControl w:val="0"/>
              <w:kinsoku/>
              <w:wordWrap/>
              <w:overflowPunct/>
              <w:topLinePunct w:val="0"/>
              <w:autoSpaceDE/>
              <w:autoSpaceDN/>
              <w:bidi w:val="0"/>
              <w:adjustRightInd/>
              <w:snapToGrid/>
              <w:spacing w:line="400" w:lineRule="exact"/>
              <w:ind w:firstLine="240" w:firstLineChars="1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w:t>
            </w:r>
          </w:p>
        </w:tc>
        <w:tc>
          <w:tcPr>
            <w:tcW w:w="4516" w:type="dxa"/>
            <w:vAlign w:val="center"/>
          </w:tcPr>
          <w:p w14:paraId="41549E41">
            <w:pPr>
              <w:keepNext w:val="0"/>
              <w:keepLines w:val="0"/>
              <w:pageBreakBefore w:val="0"/>
              <w:widowControl w:val="0"/>
              <w:kinsoku/>
              <w:wordWrap/>
              <w:overflowPunct/>
              <w:topLinePunct w:val="0"/>
              <w:autoSpaceDE/>
              <w:autoSpaceDN/>
              <w:bidi w:val="0"/>
              <w:adjustRightInd/>
              <w:snapToGrid/>
              <w:spacing w:line="400" w:lineRule="exact"/>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物业公众责任险及附加险采购（第二次）</w:t>
            </w:r>
          </w:p>
        </w:tc>
        <w:tc>
          <w:tcPr>
            <w:tcW w:w="1927" w:type="dxa"/>
            <w:vAlign w:val="center"/>
          </w:tcPr>
          <w:p w14:paraId="0FDAB58F">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1项</w:t>
            </w:r>
          </w:p>
        </w:tc>
        <w:tc>
          <w:tcPr>
            <w:tcW w:w="2915" w:type="dxa"/>
            <w:vAlign w:val="center"/>
          </w:tcPr>
          <w:p w14:paraId="14EE83B5">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具体内容详见下文</w:t>
            </w:r>
          </w:p>
        </w:tc>
      </w:tr>
    </w:tbl>
    <w:p w14:paraId="4D10FD6C">
      <w:pPr>
        <w:pStyle w:val="3"/>
        <w:pageBreakBefore w:val="0"/>
        <w:widowControl w:val="0"/>
        <w:numPr>
          <w:ilvl w:val="0"/>
          <w:numId w:val="0"/>
        </w:numPr>
        <w:kinsoku/>
        <w:wordWrap/>
        <w:overflowPunct/>
        <w:topLinePunct w:val="0"/>
        <w:autoSpaceDE/>
        <w:autoSpaceDN/>
        <w:bidi w:val="0"/>
        <w:spacing w:line="400" w:lineRule="exact"/>
        <w:textAlignment w:val="auto"/>
        <w:rPr>
          <w:rFonts w:hint="eastAsia" w:ascii="仿宋" w:hAnsi="仿宋" w:eastAsia="仿宋" w:cs="仿宋"/>
          <w:b/>
          <w:color w:val="auto"/>
          <w:kern w:val="2"/>
          <w:sz w:val="24"/>
          <w:szCs w:val="24"/>
          <w:lang w:val="en-US" w:eastAsia="zh-CN" w:bidi="ar-SA"/>
        </w:rPr>
      </w:pPr>
      <w:bookmarkStart w:id="50" w:name="_Toc16322"/>
      <w:bookmarkStart w:id="51" w:name="_Toc18965"/>
      <w:r>
        <w:rPr>
          <w:rFonts w:hint="eastAsia" w:ascii="仿宋" w:hAnsi="仿宋" w:eastAsia="仿宋" w:cs="仿宋"/>
          <w:b/>
          <w:color w:val="auto"/>
          <w:kern w:val="2"/>
          <w:sz w:val="24"/>
          <w:szCs w:val="24"/>
          <w:lang w:val="en-US" w:eastAsia="zh-CN" w:bidi="ar-SA"/>
        </w:rPr>
        <w:t>二、项目服务内容及要求</w:t>
      </w:r>
      <w:bookmarkEnd w:id="50"/>
      <w:bookmarkEnd w:id="51"/>
    </w:p>
    <w:p w14:paraId="51F33DF2">
      <w:pPr>
        <w:keepNext w:val="0"/>
        <w:keepLines w:val="0"/>
        <w:pageBreakBefore w:val="0"/>
        <w:widowControl w:val="0"/>
        <w:kinsoku/>
        <w:wordWrap/>
        <w:overflowPunct/>
        <w:topLinePunct w:val="0"/>
        <w:autoSpaceDE/>
        <w:autoSpaceDN/>
        <w:bidi w:val="0"/>
        <w:adjustRightInd/>
        <w:snapToGrid/>
        <w:spacing w:line="400" w:lineRule="exact"/>
        <w:textAlignment w:val="auto"/>
        <w:outlineLvl w:val="9"/>
        <w:rPr>
          <w:rFonts w:hint="eastAsia" w:ascii="仿宋" w:hAnsi="仿宋" w:eastAsia="仿宋" w:cs="仿宋"/>
          <w:color w:val="auto"/>
          <w:sz w:val="24"/>
          <w:szCs w:val="24"/>
          <w:highlight w:val="none"/>
          <w:lang w:val="en-US" w:eastAsia="zh-CN"/>
        </w:rPr>
      </w:pPr>
      <w:bookmarkStart w:id="52" w:name="_Toc9689"/>
      <w:bookmarkStart w:id="53" w:name="_Toc13349"/>
      <w:bookmarkStart w:id="54" w:name="_Toc23161"/>
      <w:bookmarkStart w:id="55" w:name="_Toc7781"/>
      <w:bookmarkStart w:id="56" w:name="_Toc20835"/>
      <w:r>
        <w:rPr>
          <w:rFonts w:hint="eastAsia" w:ascii="仿宋" w:hAnsi="仿宋" w:eastAsia="仿宋" w:cs="仿宋"/>
          <w:color w:val="auto"/>
          <w:sz w:val="24"/>
          <w:szCs w:val="24"/>
          <w:highlight w:val="none"/>
          <w:lang w:val="en-US" w:eastAsia="zh-CN"/>
        </w:rPr>
        <w:t>（一）服务内容</w:t>
      </w:r>
      <w:bookmarkEnd w:id="52"/>
      <w:bookmarkEnd w:id="53"/>
      <w:bookmarkEnd w:id="54"/>
      <w:bookmarkEnd w:id="55"/>
      <w:bookmarkEnd w:id="56"/>
    </w:p>
    <w:tbl>
      <w:tblPr>
        <w:tblStyle w:val="24"/>
        <w:tblpPr w:leftFromText="180" w:rightFromText="180" w:vertAnchor="text" w:horzAnchor="page" w:tblpXSpec="center" w:tblpY="315"/>
        <w:tblOverlap w:val="never"/>
        <w:tblW w:w="939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654"/>
        <w:gridCol w:w="1305"/>
        <w:gridCol w:w="1560"/>
        <w:gridCol w:w="4577"/>
        <w:gridCol w:w="1301"/>
      </w:tblGrid>
      <w:tr w14:paraId="3981DA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654" w:type="dxa"/>
            <w:tcBorders>
              <w:top w:val="single" w:color="000000" w:sz="4" w:space="0"/>
              <w:left w:val="single" w:color="000000" w:sz="4" w:space="0"/>
              <w:bottom w:val="single" w:color="000000" w:sz="4" w:space="0"/>
              <w:right w:val="single" w:color="000000" w:sz="4" w:space="0"/>
            </w:tcBorders>
            <w:noWrap w:val="0"/>
            <w:vAlign w:val="center"/>
          </w:tcPr>
          <w:p w14:paraId="51801AD8">
            <w:pPr>
              <w:keepNext w:val="0"/>
              <w:keepLines w:val="0"/>
              <w:pageBreakBefore w:val="0"/>
              <w:widowControl/>
              <w:suppressLineNumbers w:val="0"/>
              <w:kinsoku/>
              <w:wordWrap/>
              <w:overflowPunct/>
              <w:topLinePunct w:val="0"/>
              <w:autoSpaceDE/>
              <w:autoSpaceDN/>
              <w:bidi w:val="0"/>
              <w:spacing w:line="400" w:lineRule="exact"/>
              <w:jc w:val="both"/>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序号</w:t>
            </w:r>
          </w:p>
        </w:tc>
        <w:tc>
          <w:tcPr>
            <w:tcW w:w="1305" w:type="dxa"/>
            <w:tcBorders>
              <w:top w:val="single" w:color="000000" w:sz="4" w:space="0"/>
              <w:left w:val="single" w:color="000000" w:sz="4" w:space="0"/>
              <w:bottom w:val="single" w:color="000000" w:sz="4" w:space="0"/>
              <w:right w:val="single" w:color="000000" w:sz="4" w:space="0"/>
            </w:tcBorders>
            <w:noWrap w:val="0"/>
            <w:vAlign w:val="center"/>
          </w:tcPr>
          <w:p w14:paraId="2DFA5808">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项目名称</w:t>
            </w:r>
          </w:p>
        </w:tc>
        <w:tc>
          <w:tcPr>
            <w:tcW w:w="1560" w:type="dxa"/>
            <w:tcBorders>
              <w:top w:val="single" w:color="000000" w:sz="4" w:space="0"/>
              <w:left w:val="single" w:color="000000" w:sz="4" w:space="0"/>
              <w:bottom w:val="single" w:color="000000" w:sz="4" w:space="0"/>
              <w:right w:val="single" w:color="000000" w:sz="4" w:space="0"/>
            </w:tcBorders>
            <w:noWrap w:val="0"/>
            <w:vAlign w:val="center"/>
          </w:tcPr>
          <w:p w14:paraId="1214A474">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保障范围</w:t>
            </w:r>
          </w:p>
        </w:tc>
        <w:tc>
          <w:tcPr>
            <w:tcW w:w="4577" w:type="dxa"/>
            <w:tcBorders>
              <w:top w:val="single" w:color="000000" w:sz="4" w:space="0"/>
              <w:left w:val="single" w:color="000000" w:sz="4" w:space="0"/>
              <w:bottom w:val="single" w:color="000000" w:sz="4" w:space="0"/>
              <w:right w:val="single" w:color="000000" w:sz="4" w:space="0"/>
            </w:tcBorders>
            <w:noWrap w:val="0"/>
            <w:vAlign w:val="center"/>
          </w:tcPr>
          <w:p w14:paraId="075BF445">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保险责任及限额</w:t>
            </w:r>
          </w:p>
        </w:tc>
        <w:tc>
          <w:tcPr>
            <w:tcW w:w="1301" w:type="dxa"/>
            <w:tcBorders>
              <w:top w:val="single" w:color="000000" w:sz="4" w:space="0"/>
              <w:left w:val="single" w:color="000000" w:sz="4" w:space="0"/>
              <w:bottom w:val="single" w:color="000000" w:sz="4" w:space="0"/>
              <w:right w:val="single" w:color="000000" w:sz="4" w:space="0"/>
            </w:tcBorders>
            <w:noWrap w:val="0"/>
            <w:vAlign w:val="center"/>
          </w:tcPr>
          <w:p w14:paraId="6A9E6C7C">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含税金额</w:t>
            </w:r>
          </w:p>
          <w:p w14:paraId="720C6283">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（元/年)</w:t>
            </w:r>
          </w:p>
        </w:tc>
      </w:tr>
      <w:tr w14:paraId="190C48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32" w:hRule="atLeast"/>
          <w:jc w:val="center"/>
        </w:trPr>
        <w:tc>
          <w:tcPr>
            <w:tcW w:w="654" w:type="dxa"/>
            <w:vMerge w:val="restart"/>
            <w:tcBorders>
              <w:top w:val="single" w:color="000000" w:sz="4" w:space="0"/>
              <w:left w:val="single" w:color="000000" w:sz="4" w:space="0"/>
              <w:bottom w:val="single" w:color="000000" w:sz="4" w:space="0"/>
              <w:right w:val="single" w:color="000000" w:sz="4" w:space="0"/>
            </w:tcBorders>
            <w:noWrap w:val="0"/>
            <w:vAlign w:val="center"/>
          </w:tcPr>
          <w:p w14:paraId="0823DACE">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1</w:t>
            </w:r>
          </w:p>
        </w:tc>
        <w:tc>
          <w:tcPr>
            <w:tcW w:w="1305" w:type="dxa"/>
            <w:vMerge w:val="restart"/>
            <w:tcBorders>
              <w:top w:val="single" w:color="000000" w:sz="4" w:space="0"/>
              <w:left w:val="single" w:color="000000" w:sz="4" w:space="0"/>
              <w:bottom w:val="single" w:color="000000" w:sz="4" w:space="0"/>
              <w:right w:val="single" w:color="000000" w:sz="4" w:space="0"/>
            </w:tcBorders>
            <w:noWrap w:val="0"/>
            <w:vAlign w:val="center"/>
          </w:tcPr>
          <w:p w14:paraId="6589815C">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项目一</w:t>
            </w:r>
          </w:p>
        </w:tc>
        <w:tc>
          <w:tcPr>
            <w:tcW w:w="1560" w:type="dxa"/>
            <w:tcBorders>
              <w:top w:val="single" w:color="000000" w:sz="4" w:space="0"/>
              <w:left w:val="single" w:color="000000" w:sz="4" w:space="0"/>
              <w:bottom w:val="single" w:color="000000" w:sz="4" w:space="0"/>
              <w:right w:val="single" w:color="000000" w:sz="4" w:space="0"/>
            </w:tcBorders>
            <w:noWrap w:val="0"/>
            <w:vAlign w:val="center"/>
          </w:tcPr>
          <w:p w14:paraId="5F954DA6">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火灾责任险</w:t>
            </w:r>
          </w:p>
        </w:tc>
        <w:tc>
          <w:tcPr>
            <w:tcW w:w="4577" w:type="dxa"/>
            <w:tcBorders>
              <w:top w:val="single" w:color="000000" w:sz="4" w:space="0"/>
              <w:left w:val="single" w:color="000000" w:sz="4" w:space="0"/>
              <w:bottom w:val="single" w:color="000000" w:sz="4" w:space="0"/>
              <w:right w:val="single" w:color="000000" w:sz="4" w:space="0"/>
            </w:tcBorders>
            <w:noWrap w:val="0"/>
            <w:vAlign w:val="center"/>
          </w:tcPr>
          <w:p w14:paraId="1DA643E8">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全年累计赔偿限额：600万元,每次事故赔偿限额：300万元,每次事故人身伤亡赔偿限额：200万元,每次事故每人人身伤亡赔偿限额：60万元（其中含医疗费用赔偿限额：5万元）,每次事故财产损失赔偿限额：100万元,每次事故每人财产损失赔偿限额：5万元</w:t>
            </w:r>
          </w:p>
        </w:tc>
        <w:tc>
          <w:tcPr>
            <w:tcW w:w="1301" w:type="dxa"/>
            <w:tcBorders>
              <w:top w:val="single" w:color="000000" w:sz="4" w:space="0"/>
              <w:left w:val="single" w:color="000000" w:sz="4" w:space="0"/>
              <w:bottom w:val="single" w:color="000000" w:sz="4" w:space="0"/>
              <w:right w:val="single" w:color="000000" w:sz="4" w:space="0"/>
            </w:tcBorders>
            <w:noWrap w:val="0"/>
            <w:vAlign w:val="center"/>
          </w:tcPr>
          <w:p w14:paraId="59C49801">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8580</w:t>
            </w:r>
          </w:p>
        </w:tc>
      </w:tr>
      <w:tr w14:paraId="3C6444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29" w:hRule="atLeast"/>
          <w:jc w:val="center"/>
        </w:trPr>
        <w:tc>
          <w:tcPr>
            <w:tcW w:w="654"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9CFC7D">
            <w:pPr>
              <w:pageBreakBefore w:val="0"/>
              <w:kinsoku/>
              <w:wordWrap/>
              <w:overflowPunct/>
              <w:topLinePunct w:val="0"/>
              <w:autoSpaceDE/>
              <w:autoSpaceDN/>
              <w:bidi w:val="0"/>
              <w:spacing w:line="400" w:lineRule="exact"/>
              <w:jc w:val="center"/>
              <w:rPr>
                <w:rFonts w:hint="eastAsia" w:ascii="仿宋" w:hAnsi="仿宋" w:eastAsia="仿宋" w:cs="仿宋"/>
                <w:i w:val="0"/>
                <w:iCs w:val="0"/>
                <w:color w:val="000000"/>
                <w:sz w:val="24"/>
                <w:szCs w:val="24"/>
                <w:highlight w:val="none"/>
                <w:u w:val="none"/>
              </w:rPr>
            </w:pPr>
          </w:p>
        </w:tc>
        <w:tc>
          <w:tcPr>
            <w:tcW w:w="1305"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212B7C">
            <w:pPr>
              <w:pageBreakBefore w:val="0"/>
              <w:kinsoku/>
              <w:wordWrap/>
              <w:overflowPunct/>
              <w:topLinePunct w:val="0"/>
              <w:autoSpaceDE/>
              <w:autoSpaceDN/>
              <w:bidi w:val="0"/>
              <w:spacing w:line="400" w:lineRule="exact"/>
              <w:jc w:val="center"/>
              <w:rPr>
                <w:rFonts w:hint="eastAsia" w:ascii="仿宋" w:hAnsi="仿宋" w:eastAsia="仿宋" w:cs="仿宋"/>
                <w:i w:val="0"/>
                <w:iCs w:val="0"/>
                <w:color w:val="000000"/>
                <w:sz w:val="24"/>
                <w:szCs w:val="24"/>
                <w:highlight w:val="none"/>
                <w:u w:val="none"/>
              </w:rPr>
            </w:pPr>
          </w:p>
        </w:tc>
        <w:tc>
          <w:tcPr>
            <w:tcW w:w="1560" w:type="dxa"/>
            <w:tcBorders>
              <w:top w:val="single" w:color="000000" w:sz="4" w:space="0"/>
              <w:left w:val="single" w:color="000000" w:sz="4" w:space="0"/>
              <w:bottom w:val="single" w:color="000000" w:sz="4" w:space="0"/>
              <w:right w:val="single" w:color="000000" w:sz="4" w:space="0"/>
            </w:tcBorders>
            <w:noWrap w:val="0"/>
            <w:vAlign w:val="center"/>
          </w:tcPr>
          <w:p w14:paraId="714030BE">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公众责任险</w:t>
            </w:r>
          </w:p>
        </w:tc>
        <w:tc>
          <w:tcPr>
            <w:tcW w:w="4577" w:type="dxa"/>
            <w:tcBorders>
              <w:top w:val="single" w:color="000000" w:sz="4" w:space="0"/>
              <w:left w:val="single" w:color="000000" w:sz="4" w:space="0"/>
              <w:bottom w:val="single" w:color="000000" w:sz="4" w:space="0"/>
              <w:right w:val="single" w:color="000000" w:sz="4" w:space="0"/>
            </w:tcBorders>
            <w:noWrap w:val="0"/>
            <w:vAlign w:val="center"/>
          </w:tcPr>
          <w:p w14:paraId="2C894C16">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限额：102万元,每次事故赔偿限额：102万元，每次事故人身伤亡赔偿限额：100万元,每次事故每人人身伤亡赔偿限额：20万元（其中含医疗费用赔偿限额：2万元）,每次事故财产损失赔偿限额：2万元。</w:t>
            </w:r>
          </w:p>
        </w:tc>
        <w:tc>
          <w:tcPr>
            <w:tcW w:w="1301" w:type="dxa"/>
            <w:vMerge w:val="restart"/>
            <w:tcBorders>
              <w:top w:val="single" w:color="000000" w:sz="4" w:space="0"/>
              <w:left w:val="single" w:color="000000" w:sz="4" w:space="0"/>
              <w:bottom w:val="single" w:color="000000" w:sz="4" w:space="0"/>
              <w:right w:val="single" w:color="000000" w:sz="4" w:space="0"/>
            </w:tcBorders>
            <w:noWrap w:val="0"/>
            <w:vAlign w:val="center"/>
          </w:tcPr>
          <w:p w14:paraId="3FD9EB21">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43450</w:t>
            </w:r>
          </w:p>
        </w:tc>
      </w:tr>
      <w:tr w14:paraId="5C9005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26" w:hRule="atLeast"/>
          <w:jc w:val="center"/>
        </w:trPr>
        <w:tc>
          <w:tcPr>
            <w:tcW w:w="65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089179">
            <w:pPr>
              <w:pageBreakBefore w:val="0"/>
              <w:kinsoku/>
              <w:wordWrap/>
              <w:overflowPunct/>
              <w:topLinePunct w:val="0"/>
              <w:autoSpaceDE/>
              <w:autoSpaceDN/>
              <w:bidi w:val="0"/>
              <w:spacing w:line="400" w:lineRule="exact"/>
              <w:jc w:val="center"/>
              <w:rPr>
                <w:rFonts w:hint="eastAsia" w:ascii="仿宋" w:hAnsi="仿宋" w:eastAsia="仿宋" w:cs="仿宋"/>
                <w:i w:val="0"/>
                <w:iCs w:val="0"/>
                <w:color w:val="000000"/>
                <w:sz w:val="24"/>
                <w:szCs w:val="24"/>
                <w:highlight w:val="none"/>
                <w:u w:val="none"/>
              </w:rPr>
            </w:pPr>
          </w:p>
        </w:tc>
        <w:tc>
          <w:tcPr>
            <w:tcW w:w="1305"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1B531D">
            <w:pPr>
              <w:pageBreakBefore w:val="0"/>
              <w:kinsoku/>
              <w:wordWrap/>
              <w:overflowPunct/>
              <w:topLinePunct w:val="0"/>
              <w:autoSpaceDE/>
              <w:autoSpaceDN/>
              <w:bidi w:val="0"/>
              <w:spacing w:line="400" w:lineRule="exact"/>
              <w:jc w:val="center"/>
              <w:rPr>
                <w:rFonts w:hint="eastAsia" w:ascii="仿宋" w:hAnsi="仿宋" w:eastAsia="仿宋" w:cs="仿宋"/>
                <w:i w:val="0"/>
                <w:iCs w:val="0"/>
                <w:color w:val="000000"/>
                <w:sz w:val="24"/>
                <w:szCs w:val="24"/>
                <w:highlight w:val="none"/>
                <w:u w:val="none"/>
              </w:rPr>
            </w:pPr>
          </w:p>
        </w:tc>
        <w:tc>
          <w:tcPr>
            <w:tcW w:w="1560" w:type="dxa"/>
            <w:tcBorders>
              <w:top w:val="single" w:color="000000" w:sz="4" w:space="0"/>
              <w:left w:val="single" w:color="000000" w:sz="4" w:space="0"/>
              <w:bottom w:val="single" w:color="000000" w:sz="4" w:space="0"/>
              <w:right w:val="single" w:color="000000" w:sz="4" w:space="0"/>
            </w:tcBorders>
            <w:noWrap w:val="0"/>
            <w:vAlign w:val="center"/>
          </w:tcPr>
          <w:p w14:paraId="0086B98E">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停车场责任险（1692个）</w:t>
            </w:r>
          </w:p>
        </w:tc>
        <w:tc>
          <w:tcPr>
            <w:tcW w:w="4577" w:type="dxa"/>
            <w:tcBorders>
              <w:top w:val="single" w:color="000000" w:sz="4" w:space="0"/>
              <w:left w:val="single" w:color="000000" w:sz="4" w:space="0"/>
              <w:bottom w:val="single" w:color="000000" w:sz="4" w:space="0"/>
              <w:right w:val="single" w:color="000000" w:sz="4" w:space="0"/>
            </w:tcBorders>
            <w:noWrap w:val="0"/>
            <w:vAlign w:val="center"/>
          </w:tcPr>
          <w:p w14:paraId="74BD5127">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累计赔偿限额200万元，每次事故赔偿限额30万元；每次事故每车位赔偿限额：2万元；车辆划痕每次事故每车位赔偿限额1万元，划痕累计赔偿限4万元。</w:t>
            </w:r>
          </w:p>
        </w:tc>
        <w:tc>
          <w:tcPr>
            <w:tcW w:w="130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9ACE00">
            <w:pPr>
              <w:pageBreakBefore w:val="0"/>
              <w:kinsoku/>
              <w:wordWrap/>
              <w:overflowPunct/>
              <w:topLinePunct w:val="0"/>
              <w:autoSpaceDE/>
              <w:autoSpaceDN/>
              <w:bidi w:val="0"/>
              <w:spacing w:line="400" w:lineRule="exact"/>
              <w:jc w:val="center"/>
              <w:rPr>
                <w:rFonts w:hint="eastAsia" w:ascii="仿宋" w:hAnsi="仿宋" w:eastAsia="仿宋" w:cs="仿宋"/>
                <w:i w:val="0"/>
                <w:iCs w:val="0"/>
                <w:color w:val="000000"/>
                <w:sz w:val="24"/>
                <w:szCs w:val="24"/>
                <w:highlight w:val="none"/>
                <w:u w:val="none"/>
              </w:rPr>
            </w:pPr>
          </w:p>
        </w:tc>
      </w:tr>
      <w:tr w14:paraId="2B0BF6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29" w:hRule="atLeast"/>
          <w:jc w:val="center"/>
        </w:trPr>
        <w:tc>
          <w:tcPr>
            <w:tcW w:w="65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294AD3">
            <w:pPr>
              <w:pageBreakBefore w:val="0"/>
              <w:kinsoku/>
              <w:wordWrap/>
              <w:overflowPunct/>
              <w:topLinePunct w:val="0"/>
              <w:autoSpaceDE/>
              <w:autoSpaceDN/>
              <w:bidi w:val="0"/>
              <w:spacing w:line="400" w:lineRule="exact"/>
              <w:jc w:val="center"/>
              <w:rPr>
                <w:rFonts w:hint="eastAsia" w:ascii="仿宋" w:hAnsi="仿宋" w:eastAsia="仿宋" w:cs="仿宋"/>
                <w:i w:val="0"/>
                <w:iCs w:val="0"/>
                <w:color w:val="000000"/>
                <w:sz w:val="24"/>
                <w:szCs w:val="24"/>
                <w:highlight w:val="none"/>
                <w:u w:val="none"/>
              </w:rPr>
            </w:pPr>
          </w:p>
        </w:tc>
        <w:tc>
          <w:tcPr>
            <w:tcW w:w="1305" w:type="dxa"/>
            <w:vMerge w:val="continue"/>
            <w:tcBorders>
              <w:top w:val="single" w:color="000000" w:sz="4" w:space="0"/>
              <w:left w:val="single" w:color="000000" w:sz="4" w:space="0"/>
              <w:bottom w:val="single" w:color="000000" w:sz="4" w:space="0"/>
              <w:right w:val="single" w:color="000000" w:sz="4" w:space="0"/>
            </w:tcBorders>
            <w:noWrap w:val="0"/>
            <w:vAlign w:val="center"/>
          </w:tcPr>
          <w:p w14:paraId="27FFC4BC">
            <w:pPr>
              <w:pageBreakBefore w:val="0"/>
              <w:kinsoku/>
              <w:wordWrap/>
              <w:overflowPunct/>
              <w:topLinePunct w:val="0"/>
              <w:autoSpaceDE/>
              <w:autoSpaceDN/>
              <w:bidi w:val="0"/>
              <w:spacing w:line="400" w:lineRule="exact"/>
              <w:jc w:val="center"/>
              <w:rPr>
                <w:rFonts w:hint="eastAsia" w:ascii="仿宋" w:hAnsi="仿宋" w:eastAsia="仿宋" w:cs="仿宋"/>
                <w:i w:val="0"/>
                <w:iCs w:val="0"/>
                <w:color w:val="000000"/>
                <w:sz w:val="24"/>
                <w:szCs w:val="24"/>
                <w:highlight w:val="none"/>
                <w:u w:val="none"/>
              </w:rPr>
            </w:pPr>
          </w:p>
        </w:tc>
        <w:tc>
          <w:tcPr>
            <w:tcW w:w="1560" w:type="dxa"/>
            <w:tcBorders>
              <w:top w:val="single" w:color="000000" w:sz="4" w:space="0"/>
              <w:left w:val="single" w:color="000000" w:sz="4" w:space="0"/>
              <w:bottom w:val="single" w:color="000000" w:sz="4" w:space="0"/>
              <w:right w:val="single" w:color="000000" w:sz="4" w:space="0"/>
            </w:tcBorders>
            <w:noWrap w:val="0"/>
            <w:vAlign w:val="center"/>
          </w:tcPr>
          <w:p w14:paraId="39F02556">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电梯责任险</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（52部）</w:t>
            </w:r>
          </w:p>
        </w:tc>
        <w:tc>
          <w:tcPr>
            <w:tcW w:w="4577" w:type="dxa"/>
            <w:tcBorders>
              <w:top w:val="single" w:color="000000" w:sz="4" w:space="0"/>
              <w:left w:val="single" w:color="000000" w:sz="4" w:space="0"/>
              <w:bottom w:val="single" w:color="000000" w:sz="4" w:space="0"/>
              <w:right w:val="single" w:color="000000" w:sz="4" w:space="0"/>
            </w:tcBorders>
            <w:noWrap w:val="0"/>
            <w:vAlign w:val="center"/>
          </w:tcPr>
          <w:p w14:paraId="235B5936">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累计限额：102万元,每次事故赔偿限额：102万元,每次事故人身伤亡赔偿限额：100万元,每次事故每人人身伤亡赔偿限额：20万元（其中含医疗费用赔偿限额：2万元）,每次事故财产损失赔偿限额：2万元。</w:t>
            </w:r>
          </w:p>
        </w:tc>
        <w:tc>
          <w:tcPr>
            <w:tcW w:w="130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6DDB21">
            <w:pPr>
              <w:pageBreakBefore w:val="0"/>
              <w:kinsoku/>
              <w:wordWrap/>
              <w:overflowPunct/>
              <w:topLinePunct w:val="0"/>
              <w:autoSpaceDE/>
              <w:autoSpaceDN/>
              <w:bidi w:val="0"/>
              <w:spacing w:line="400" w:lineRule="exact"/>
              <w:jc w:val="center"/>
              <w:rPr>
                <w:rFonts w:hint="eastAsia" w:ascii="仿宋" w:hAnsi="仿宋" w:eastAsia="仿宋" w:cs="仿宋"/>
                <w:i w:val="0"/>
                <w:iCs w:val="0"/>
                <w:color w:val="000000"/>
                <w:sz w:val="24"/>
                <w:szCs w:val="24"/>
                <w:highlight w:val="none"/>
                <w:u w:val="none"/>
              </w:rPr>
            </w:pPr>
          </w:p>
        </w:tc>
      </w:tr>
      <w:tr w14:paraId="34932D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32" w:hRule="atLeast"/>
          <w:jc w:val="center"/>
        </w:trPr>
        <w:tc>
          <w:tcPr>
            <w:tcW w:w="654" w:type="dxa"/>
            <w:vMerge w:val="restart"/>
            <w:tcBorders>
              <w:top w:val="single" w:color="000000" w:sz="4" w:space="0"/>
              <w:left w:val="single" w:color="000000" w:sz="4" w:space="0"/>
              <w:bottom w:val="single" w:color="000000" w:sz="4" w:space="0"/>
              <w:right w:val="single" w:color="000000" w:sz="4" w:space="0"/>
            </w:tcBorders>
            <w:noWrap w:val="0"/>
            <w:vAlign w:val="center"/>
          </w:tcPr>
          <w:p w14:paraId="2A10AD4F">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2</w:t>
            </w:r>
          </w:p>
        </w:tc>
        <w:tc>
          <w:tcPr>
            <w:tcW w:w="1305" w:type="dxa"/>
            <w:vMerge w:val="restart"/>
            <w:tcBorders>
              <w:top w:val="single" w:color="000000" w:sz="4" w:space="0"/>
              <w:left w:val="single" w:color="000000" w:sz="4" w:space="0"/>
              <w:bottom w:val="single" w:color="000000" w:sz="4" w:space="0"/>
              <w:right w:val="single" w:color="000000" w:sz="4" w:space="0"/>
            </w:tcBorders>
            <w:noWrap w:val="0"/>
            <w:vAlign w:val="center"/>
          </w:tcPr>
          <w:p w14:paraId="15A31BB6">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default" w:ascii="仿宋" w:hAnsi="仿宋" w:eastAsia="仿宋" w:cs="仿宋"/>
                <w:i w:val="0"/>
                <w:iCs w:val="0"/>
                <w:color w:val="000000"/>
                <w:sz w:val="24"/>
                <w:szCs w:val="24"/>
                <w:highlight w:val="none"/>
                <w:u w:val="none"/>
                <w:lang w:val="en-US"/>
              </w:rPr>
            </w:pPr>
            <w:r>
              <w:rPr>
                <w:rFonts w:hint="eastAsia" w:ascii="仿宋" w:hAnsi="仿宋" w:eastAsia="仿宋" w:cs="仿宋"/>
                <w:i w:val="0"/>
                <w:iCs w:val="0"/>
                <w:color w:val="000000"/>
                <w:kern w:val="0"/>
                <w:sz w:val="24"/>
                <w:szCs w:val="24"/>
                <w:highlight w:val="none"/>
                <w:u w:val="none"/>
                <w:lang w:val="en-US" w:eastAsia="zh-CN" w:bidi="ar"/>
              </w:rPr>
              <w:t>项目二</w:t>
            </w:r>
          </w:p>
        </w:tc>
        <w:tc>
          <w:tcPr>
            <w:tcW w:w="1560" w:type="dxa"/>
            <w:tcBorders>
              <w:top w:val="single" w:color="000000" w:sz="4" w:space="0"/>
              <w:left w:val="single" w:color="000000" w:sz="4" w:space="0"/>
              <w:bottom w:val="single" w:color="000000" w:sz="4" w:space="0"/>
              <w:right w:val="single" w:color="000000" w:sz="4" w:space="0"/>
            </w:tcBorders>
            <w:noWrap w:val="0"/>
            <w:vAlign w:val="center"/>
          </w:tcPr>
          <w:p w14:paraId="4DFBF5C6">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公众责任险</w:t>
            </w:r>
          </w:p>
        </w:tc>
        <w:tc>
          <w:tcPr>
            <w:tcW w:w="4577" w:type="dxa"/>
            <w:tcBorders>
              <w:top w:val="single" w:color="000000" w:sz="4" w:space="0"/>
              <w:left w:val="single" w:color="000000" w:sz="4" w:space="0"/>
              <w:bottom w:val="single" w:color="000000" w:sz="4" w:space="0"/>
              <w:right w:val="single" w:color="000000" w:sz="4" w:space="0"/>
            </w:tcBorders>
            <w:noWrap w:val="0"/>
            <w:vAlign w:val="center"/>
          </w:tcPr>
          <w:p w14:paraId="6F8F7D1C">
            <w:pPr>
              <w:keepNext w:val="0"/>
              <w:keepLines w:val="0"/>
              <w:pageBreakBefore w:val="0"/>
              <w:widowControl/>
              <w:suppressLineNumbers w:val="0"/>
              <w:kinsoku/>
              <w:wordWrap/>
              <w:overflowPunct/>
              <w:topLinePunct w:val="0"/>
              <w:autoSpaceDE/>
              <w:autoSpaceDN/>
              <w:bidi w:val="0"/>
              <w:spacing w:line="400" w:lineRule="exact"/>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限额：1000万元,每次事故赔偿限额：500万元,每次事故人身伤亡赔偿限额：480万元,每次事故每人人身伤亡赔偿限额：50万元（其中含医疗费用赔偿限额：5万元）,每次事故财产损失赔偿限额：20万元,每次事故每人财产损失赔偿限额：0.5万元。</w:t>
            </w:r>
          </w:p>
        </w:tc>
        <w:tc>
          <w:tcPr>
            <w:tcW w:w="1301" w:type="dxa"/>
            <w:vMerge w:val="restart"/>
            <w:tcBorders>
              <w:top w:val="single" w:color="000000" w:sz="4" w:space="0"/>
              <w:left w:val="single" w:color="000000" w:sz="4" w:space="0"/>
              <w:bottom w:val="single" w:color="000000" w:sz="4" w:space="0"/>
              <w:right w:val="single" w:color="000000" w:sz="4" w:space="0"/>
            </w:tcBorders>
            <w:noWrap w:val="0"/>
            <w:vAlign w:val="center"/>
          </w:tcPr>
          <w:p w14:paraId="2DE1DF05">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11660</w:t>
            </w:r>
          </w:p>
        </w:tc>
      </w:tr>
      <w:tr w14:paraId="2D9DE2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23" w:hRule="atLeast"/>
          <w:jc w:val="center"/>
        </w:trPr>
        <w:tc>
          <w:tcPr>
            <w:tcW w:w="65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531B8D">
            <w:pPr>
              <w:pageBreakBefore w:val="0"/>
              <w:kinsoku/>
              <w:wordWrap/>
              <w:overflowPunct/>
              <w:topLinePunct w:val="0"/>
              <w:autoSpaceDE/>
              <w:autoSpaceDN/>
              <w:bidi w:val="0"/>
              <w:spacing w:line="400" w:lineRule="exact"/>
              <w:jc w:val="center"/>
              <w:rPr>
                <w:rFonts w:hint="eastAsia" w:ascii="仿宋" w:hAnsi="仿宋" w:eastAsia="仿宋" w:cs="仿宋"/>
                <w:i w:val="0"/>
                <w:iCs w:val="0"/>
                <w:color w:val="000000"/>
                <w:sz w:val="24"/>
                <w:szCs w:val="24"/>
                <w:highlight w:val="none"/>
                <w:u w:val="none"/>
              </w:rPr>
            </w:pPr>
          </w:p>
        </w:tc>
        <w:tc>
          <w:tcPr>
            <w:tcW w:w="1305"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98CCE9">
            <w:pPr>
              <w:pageBreakBefore w:val="0"/>
              <w:kinsoku/>
              <w:wordWrap/>
              <w:overflowPunct/>
              <w:topLinePunct w:val="0"/>
              <w:autoSpaceDE/>
              <w:autoSpaceDN/>
              <w:bidi w:val="0"/>
              <w:spacing w:line="400" w:lineRule="exact"/>
              <w:jc w:val="center"/>
              <w:rPr>
                <w:rFonts w:hint="eastAsia" w:ascii="仿宋" w:hAnsi="仿宋" w:eastAsia="仿宋" w:cs="仿宋"/>
                <w:i w:val="0"/>
                <w:iCs w:val="0"/>
                <w:color w:val="000000"/>
                <w:sz w:val="24"/>
                <w:szCs w:val="24"/>
                <w:highlight w:val="none"/>
                <w:u w:val="none"/>
              </w:rPr>
            </w:pPr>
          </w:p>
        </w:tc>
        <w:tc>
          <w:tcPr>
            <w:tcW w:w="1560" w:type="dxa"/>
            <w:tcBorders>
              <w:top w:val="single" w:color="000000" w:sz="4" w:space="0"/>
              <w:left w:val="single" w:color="000000" w:sz="4" w:space="0"/>
              <w:bottom w:val="single" w:color="000000" w:sz="4" w:space="0"/>
              <w:right w:val="single" w:color="000000" w:sz="4" w:space="0"/>
            </w:tcBorders>
            <w:noWrap w:val="0"/>
            <w:vAlign w:val="center"/>
          </w:tcPr>
          <w:p w14:paraId="755F37DB">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停车场责任险</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（360个)</w:t>
            </w:r>
          </w:p>
        </w:tc>
        <w:tc>
          <w:tcPr>
            <w:tcW w:w="4577" w:type="dxa"/>
            <w:tcBorders>
              <w:top w:val="single" w:color="000000" w:sz="4" w:space="0"/>
              <w:left w:val="single" w:color="000000" w:sz="4" w:space="0"/>
              <w:bottom w:val="single" w:color="000000" w:sz="4" w:space="0"/>
              <w:right w:val="single" w:color="000000" w:sz="4" w:space="0"/>
            </w:tcBorders>
            <w:noWrap w:val="0"/>
            <w:vAlign w:val="center"/>
          </w:tcPr>
          <w:p w14:paraId="35D5297F">
            <w:pPr>
              <w:keepNext w:val="0"/>
              <w:keepLines w:val="0"/>
              <w:pageBreakBefore w:val="0"/>
              <w:widowControl/>
              <w:suppressLineNumbers w:val="0"/>
              <w:kinsoku/>
              <w:wordWrap/>
              <w:overflowPunct/>
              <w:topLinePunct w:val="0"/>
              <w:autoSpaceDE/>
              <w:autoSpaceDN/>
              <w:bidi w:val="0"/>
              <w:spacing w:line="400" w:lineRule="exact"/>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累计限额300万元，每次事故赔偿限额50万元；每次事故每车位赔偿限额：10万元；车辆划痕每次事故每车位赔偿限额0.2万元，划痕累计赔偿限2万元。</w:t>
            </w:r>
          </w:p>
        </w:tc>
        <w:tc>
          <w:tcPr>
            <w:tcW w:w="130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AFAD8C">
            <w:pPr>
              <w:pageBreakBefore w:val="0"/>
              <w:kinsoku/>
              <w:wordWrap/>
              <w:overflowPunct/>
              <w:topLinePunct w:val="0"/>
              <w:autoSpaceDE/>
              <w:autoSpaceDN/>
              <w:bidi w:val="0"/>
              <w:spacing w:line="400" w:lineRule="exact"/>
              <w:jc w:val="center"/>
              <w:rPr>
                <w:rFonts w:hint="eastAsia" w:ascii="仿宋" w:hAnsi="仿宋" w:eastAsia="仿宋" w:cs="仿宋"/>
                <w:i w:val="0"/>
                <w:iCs w:val="0"/>
                <w:color w:val="000000"/>
                <w:sz w:val="24"/>
                <w:szCs w:val="24"/>
                <w:highlight w:val="none"/>
                <w:u w:val="none"/>
              </w:rPr>
            </w:pPr>
          </w:p>
        </w:tc>
      </w:tr>
      <w:tr w14:paraId="2737CA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32" w:hRule="atLeast"/>
          <w:jc w:val="center"/>
        </w:trPr>
        <w:tc>
          <w:tcPr>
            <w:tcW w:w="654"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044F1D">
            <w:pPr>
              <w:pageBreakBefore w:val="0"/>
              <w:kinsoku/>
              <w:wordWrap/>
              <w:overflowPunct/>
              <w:topLinePunct w:val="0"/>
              <w:autoSpaceDE/>
              <w:autoSpaceDN/>
              <w:bidi w:val="0"/>
              <w:spacing w:line="400" w:lineRule="exact"/>
              <w:jc w:val="center"/>
              <w:rPr>
                <w:rFonts w:hint="eastAsia" w:ascii="仿宋" w:hAnsi="仿宋" w:eastAsia="仿宋" w:cs="仿宋"/>
                <w:i w:val="0"/>
                <w:iCs w:val="0"/>
                <w:color w:val="000000"/>
                <w:sz w:val="24"/>
                <w:szCs w:val="24"/>
                <w:highlight w:val="none"/>
                <w:u w:val="none"/>
              </w:rPr>
            </w:pPr>
          </w:p>
        </w:tc>
        <w:tc>
          <w:tcPr>
            <w:tcW w:w="1305"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16AEE0">
            <w:pPr>
              <w:pageBreakBefore w:val="0"/>
              <w:kinsoku/>
              <w:wordWrap/>
              <w:overflowPunct/>
              <w:topLinePunct w:val="0"/>
              <w:autoSpaceDE/>
              <w:autoSpaceDN/>
              <w:bidi w:val="0"/>
              <w:spacing w:line="400" w:lineRule="exact"/>
              <w:jc w:val="center"/>
              <w:rPr>
                <w:rFonts w:hint="eastAsia" w:ascii="仿宋" w:hAnsi="仿宋" w:eastAsia="仿宋" w:cs="仿宋"/>
                <w:i w:val="0"/>
                <w:iCs w:val="0"/>
                <w:color w:val="000000"/>
                <w:sz w:val="24"/>
                <w:szCs w:val="24"/>
                <w:highlight w:val="none"/>
                <w:u w:val="none"/>
              </w:rPr>
            </w:pPr>
          </w:p>
        </w:tc>
        <w:tc>
          <w:tcPr>
            <w:tcW w:w="1560" w:type="dxa"/>
            <w:tcBorders>
              <w:top w:val="single" w:color="000000" w:sz="4" w:space="0"/>
              <w:left w:val="single" w:color="000000" w:sz="4" w:space="0"/>
              <w:bottom w:val="single" w:color="000000" w:sz="4" w:space="0"/>
              <w:right w:val="single" w:color="000000" w:sz="4" w:space="0"/>
            </w:tcBorders>
            <w:noWrap w:val="0"/>
            <w:vAlign w:val="center"/>
          </w:tcPr>
          <w:p w14:paraId="1A30E8A7">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电梯责任险</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(8部）</w:t>
            </w:r>
          </w:p>
        </w:tc>
        <w:tc>
          <w:tcPr>
            <w:tcW w:w="4577" w:type="dxa"/>
            <w:tcBorders>
              <w:top w:val="single" w:color="000000" w:sz="4" w:space="0"/>
              <w:left w:val="single" w:color="000000" w:sz="4" w:space="0"/>
              <w:bottom w:val="single" w:color="000000" w:sz="4" w:space="0"/>
              <w:right w:val="single" w:color="000000" w:sz="4" w:space="0"/>
            </w:tcBorders>
            <w:noWrap w:val="0"/>
            <w:vAlign w:val="center"/>
          </w:tcPr>
          <w:p w14:paraId="675E901B">
            <w:pPr>
              <w:keepNext w:val="0"/>
              <w:keepLines w:val="0"/>
              <w:pageBreakBefore w:val="0"/>
              <w:widowControl/>
              <w:suppressLineNumbers w:val="0"/>
              <w:kinsoku/>
              <w:wordWrap/>
              <w:overflowPunct/>
              <w:topLinePunct w:val="0"/>
              <w:autoSpaceDE/>
              <w:autoSpaceDN/>
              <w:bidi w:val="0"/>
              <w:spacing w:line="400" w:lineRule="exact"/>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限额：1000万元,每次事故赔偿限额：500万元,每次事故人身伤亡赔偿限额：480万元,每次事故每人人身伤亡赔偿限额：50万元（其中含医疗费用赔偿限额：5万元）,每次事故财产损失赔偿限额：20万元,每次事故每人财产损失赔偿限额：0.5万元。</w:t>
            </w:r>
          </w:p>
        </w:tc>
        <w:tc>
          <w:tcPr>
            <w:tcW w:w="130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3F1A6E">
            <w:pPr>
              <w:pageBreakBefore w:val="0"/>
              <w:kinsoku/>
              <w:wordWrap/>
              <w:overflowPunct/>
              <w:topLinePunct w:val="0"/>
              <w:autoSpaceDE/>
              <w:autoSpaceDN/>
              <w:bidi w:val="0"/>
              <w:spacing w:line="400" w:lineRule="exact"/>
              <w:jc w:val="center"/>
              <w:rPr>
                <w:rFonts w:hint="eastAsia" w:ascii="仿宋" w:hAnsi="仿宋" w:eastAsia="仿宋" w:cs="仿宋"/>
                <w:i w:val="0"/>
                <w:iCs w:val="0"/>
                <w:color w:val="000000"/>
                <w:sz w:val="24"/>
                <w:szCs w:val="24"/>
                <w:highlight w:val="none"/>
                <w:u w:val="none"/>
              </w:rPr>
            </w:pPr>
          </w:p>
        </w:tc>
      </w:tr>
      <w:tr w14:paraId="0C558E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32" w:hRule="atLeast"/>
          <w:jc w:val="center"/>
        </w:trPr>
        <w:tc>
          <w:tcPr>
            <w:tcW w:w="654"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2956C4">
            <w:pPr>
              <w:pageBreakBefore w:val="0"/>
              <w:kinsoku/>
              <w:wordWrap/>
              <w:overflowPunct/>
              <w:topLinePunct w:val="0"/>
              <w:autoSpaceDE/>
              <w:autoSpaceDN/>
              <w:bidi w:val="0"/>
              <w:spacing w:line="400" w:lineRule="exact"/>
              <w:jc w:val="center"/>
              <w:rPr>
                <w:rFonts w:hint="eastAsia" w:ascii="仿宋" w:hAnsi="仿宋" w:eastAsia="仿宋" w:cs="仿宋"/>
                <w:i w:val="0"/>
                <w:iCs w:val="0"/>
                <w:color w:val="000000"/>
                <w:sz w:val="24"/>
                <w:szCs w:val="24"/>
                <w:highlight w:val="none"/>
                <w:u w:val="none"/>
              </w:rPr>
            </w:pPr>
          </w:p>
        </w:tc>
        <w:tc>
          <w:tcPr>
            <w:tcW w:w="1305"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1D8FBF">
            <w:pPr>
              <w:pageBreakBefore w:val="0"/>
              <w:kinsoku/>
              <w:wordWrap/>
              <w:overflowPunct/>
              <w:topLinePunct w:val="0"/>
              <w:autoSpaceDE/>
              <w:autoSpaceDN/>
              <w:bidi w:val="0"/>
              <w:spacing w:line="400" w:lineRule="exact"/>
              <w:jc w:val="center"/>
              <w:rPr>
                <w:rFonts w:hint="eastAsia" w:ascii="仿宋" w:hAnsi="仿宋" w:eastAsia="仿宋" w:cs="仿宋"/>
                <w:i w:val="0"/>
                <w:iCs w:val="0"/>
                <w:color w:val="000000"/>
                <w:sz w:val="24"/>
                <w:szCs w:val="24"/>
                <w:highlight w:val="none"/>
                <w:u w:val="none"/>
              </w:rPr>
            </w:pPr>
          </w:p>
        </w:tc>
        <w:tc>
          <w:tcPr>
            <w:tcW w:w="1560" w:type="dxa"/>
            <w:tcBorders>
              <w:top w:val="single" w:color="000000" w:sz="4" w:space="0"/>
              <w:left w:val="single" w:color="000000" w:sz="4" w:space="0"/>
              <w:bottom w:val="single" w:color="000000" w:sz="4" w:space="0"/>
              <w:right w:val="single" w:color="000000" w:sz="4" w:space="0"/>
            </w:tcBorders>
            <w:noWrap w:val="0"/>
            <w:vAlign w:val="center"/>
          </w:tcPr>
          <w:p w14:paraId="0CB47FE3">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火灾和爆炸责任险</w:t>
            </w:r>
          </w:p>
        </w:tc>
        <w:tc>
          <w:tcPr>
            <w:tcW w:w="4577" w:type="dxa"/>
            <w:tcBorders>
              <w:top w:val="single" w:color="000000" w:sz="4" w:space="0"/>
              <w:left w:val="single" w:color="000000" w:sz="4" w:space="0"/>
              <w:bottom w:val="single" w:color="000000" w:sz="4" w:space="0"/>
              <w:right w:val="single" w:color="000000" w:sz="4" w:space="0"/>
            </w:tcBorders>
            <w:noWrap w:val="0"/>
            <w:vAlign w:val="center"/>
          </w:tcPr>
          <w:p w14:paraId="79105A3C">
            <w:pPr>
              <w:keepNext w:val="0"/>
              <w:keepLines w:val="0"/>
              <w:pageBreakBefore w:val="0"/>
              <w:widowControl/>
              <w:suppressLineNumbers w:val="0"/>
              <w:kinsoku/>
              <w:wordWrap/>
              <w:overflowPunct/>
              <w:topLinePunct w:val="0"/>
              <w:autoSpaceDE/>
              <w:autoSpaceDN/>
              <w:bidi w:val="0"/>
              <w:spacing w:line="400" w:lineRule="exact"/>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限额：1000万元,每次事故赔偿限额：500万元,每次事故人身伤亡赔偿限额：480万元,每次事故每人人身伤亡赔偿限额：50万元（其中含医疗费用赔偿限额：5万元）,每次事故财产损失赔偿限额：20万元,每次事故每人财产损失赔偿限额：0.5万元。</w:t>
            </w:r>
          </w:p>
        </w:tc>
        <w:tc>
          <w:tcPr>
            <w:tcW w:w="130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DAD3A8">
            <w:pPr>
              <w:pageBreakBefore w:val="0"/>
              <w:kinsoku/>
              <w:wordWrap/>
              <w:overflowPunct/>
              <w:topLinePunct w:val="0"/>
              <w:autoSpaceDE/>
              <w:autoSpaceDN/>
              <w:bidi w:val="0"/>
              <w:spacing w:line="400" w:lineRule="exact"/>
              <w:jc w:val="center"/>
              <w:rPr>
                <w:rFonts w:hint="eastAsia" w:ascii="仿宋" w:hAnsi="仿宋" w:eastAsia="仿宋" w:cs="仿宋"/>
                <w:i w:val="0"/>
                <w:iCs w:val="0"/>
                <w:color w:val="000000"/>
                <w:sz w:val="24"/>
                <w:szCs w:val="24"/>
                <w:highlight w:val="none"/>
                <w:u w:val="none"/>
              </w:rPr>
            </w:pPr>
          </w:p>
        </w:tc>
      </w:tr>
      <w:tr w14:paraId="6ECA6A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32" w:hRule="atLeast"/>
          <w:jc w:val="center"/>
        </w:trPr>
        <w:tc>
          <w:tcPr>
            <w:tcW w:w="654" w:type="dxa"/>
            <w:vMerge w:val="restart"/>
            <w:tcBorders>
              <w:top w:val="single" w:color="000000" w:sz="4" w:space="0"/>
              <w:left w:val="single" w:color="000000" w:sz="4" w:space="0"/>
              <w:bottom w:val="single" w:color="000000" w:sz="4" w:space="0"/>
              <w:right w:val="single" w:color="000000" w:sz="4" w:space="0"/>
            </w:tcBorders>
            <w:noWrap w:val="0"/>
            <w:vAlign w:val="center"/>
          </w:tcPr>
          <w:p w14:paraId="37CD8B26">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3</w:t>
            </w:r>
          </w:p>
        </w:tc>
        <w:tc>
          <w:tcPr>
            <w:tcW w:w="1305" w:type="dxa"/>
            <w:vMerge w:val="restart"/>
            <w:tcBorders>
              <w:top w:val="single" w:color="000000" w:sz="4" w:space="0"/>
              <w:left w:val="single" w:color="000000" w:sz="4" w:space="0"/>
              <w:bottom w:val="single" w:color="000000" w:sz="4" w:space="0"/>
              <w:right w:val="single" w:color="000000" w:sz="4" w:space="0"/>
            </w:tcBorders>
            <w:noWrap w:val="0"/>
            <w:vAlign w:val="center"/>
          </w:tcPr>
          <w:p w14:paraId="30D9BD5C">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default" w:ascii="仿宋" w:hAnsi="仿宋" w:eastAsia="仿宋" w:cs="仿宋"/>
                <w:i w:val="0"/>
                <w:iCs w:val="0"/>
                <w:color w:val="000000"/>
                <w:sz w:val="24"/>
                <w:szCs w:val="24"/>
                <w:highlight w:val="none"/>
                <w:u w:val="none"/>
                <w:lang w:val="en-US"/>
              </w:rPr>
            </w:pPr>
            <w:r>
              <w:rPr>
                <w:rFonts w:hint="eastAsia" w:ascii="仿宋" w:hAnsi="仿宋" w:eastAsia="仿宋" w:cs="仿宋"/>
                <w:i w:val="0"/>
                <w:iCs w:val="0"/>
                <w:color w:val="000000"/>
                <w:kern w:val="0"/>
                <w:sz w:val="24"/>
                <w:szCs w:val="24"/>
                <w:highlight w:val="none"/>
                <w:u w:val="none"/>
                <w:lang w:val="en-US" w:eastAsia="zh-CN" w:bidi="ar"/>
              </w:rPr>
              <w:t>项目三</w:t>
            </w:r>
          </w:p>
        </w:tc>
        <w:tc>
          <w:tcPr>
            <w:tcW w:w="1560" w:type="dxa"/>
            <w:tcBorders>
              <w:top w:val="single" w:color="000000" w:sz="4" w:space="0"/>
              <w:left w:val="single" w:color="000000" w:sz="4" w:space="0"/>
              <w:bottom w:val="single" w:color="000000" w:sz="4" w:space="0"/>
              <w:right w:val="single" w:color="000000" w:sz="4" w:space="0"/>
            </w:tcBorders>
            <w:noWrap w:val="0"/>
            <w:vAlign w:val="center"/>
          </w:tcPr>
          <w:p w14:paraId="179DAB98">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公众责任险</w:t>
            </w:r>
          </w:p>
        </w:tc>
        <w:tc>
          <w:tcPr>
            <w:tcW w:w="4577" w:type="dxa"/>
            <w:tcBorders>
              <w:top w:val="single" w:color="000000" w:sz="4" w:space="0"/>
              <w:left w:val="single" w:color="000000" w:sz="4" w:space="0"/>
              <w:bottom w:val="single" w:color="000000" w:sz="4" w:space="0"/>
              <w:right w:val="single" w:color="000000" w:sz="4" w:space="0"/>
            </w:tcBorders>
            <w:noWrap w:val="0"/>
            <w:vAlign w:val="center"/>
          </w:tcPr>
          <w:p w14:paraId="21B9FDAF">
            <w:pPr>
              <w:keepNext w:val="0"/>
              <w:keepLines w:val="0"/>
              <w:pageBreakBefore w:val="0"/>
              <w:widowControl/>
              <w:suppressLineNumbers w:val="0"/>
              <w:kinsoku/>
              <w:wordWrap/>
              <w:overflowPunct/>
              <w:topLinePunct w:val="0"/>
              <w:autoSpaceDE/>
              <w:autoSpaceDN/>
              <w:bidi w:val="0"/>
              <w:spacing w:line="400" w:lineRule="exact"/>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限额：1000万元,每次事故赔偿限额：500万元,每次事故人身伤亡赔偿限额：150万元,每次事故每人人身伤亡赔偿限额：50万元（其中含医疗费用赔偿限额：5万元）,每次事故财产损失赔偿限额：20万元,每次事故每人财产损失赔偿限额：0.5万元。</w:t>
            </w:r>
          </w:p>
        </w:tc>
        <w:tc>
          <w:tcPr>
            <w:tcW w:w="1301" w:type="dxa"/>
            <w:vMerge w:val="restart"/>
            <w:tcBorders>
              <w:top w:val="single" w:color="000000" w:sz="4" w:space="0"/>
              <w:left w:val="single" w:color="000000" w:sz="4" w:space="0"/>
              <w:bottom w:val="single" w:color="000000" w:sz="4" w:space="0"/>
              <w:right w:val="single" w:color="000000" w:sz="4" w:space="0"/>
            </w:tcBorders>
            <w:noWrap w:val="0"/>
            <w:vAlign w:val="center"/>
          </w:tcPr>
          <w:p w14:paraId="1523B2EB">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11000</w:t>
            </w:r>
          </w:p>
        </w:tc>
      </w:tr>
      <w:tr w14:paraId="226419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23" w:hRule="atLeast"/>
          <w:jc w:val="center"/>
        </w:trPr>
        <w:tc>
          <w:tcPr>
            <w:tcW w:w="65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9A906B">
            <w:pPr>
              <w:pageBreakBefore w:val="0"/>
              <w:kinsoku/>
              <w:wordWrap/>
              <w:overflowPunct/>
              <w:topLinePunct w:val="0"/>
              <w:autoSpaceDE/>
              <w:autoSpaceDN/>
              <w:bidi w:val="0"/>
              <w:spacing w:line="400" w:lineRule="exact"/>
              <w:jc w:val="center"/>
              <w:rPr>
                <w:rFonts w:hint="eastAsia" w:ascii="仿宋" w:hAnsi="仿宋" w:eastAsia="仿宋" w:cs="仿宋"/>
                <w:i w:val="0"/>
                <w:iCs w:val="0"/>
                <w:color w:val="000000"/>
                <w:sz w:val="24"/>
                <w:szCs w:val="24"/>
                <w:highlight w:val="none"/>
                <w:u w:val="none"/>
              </w:rPr>
            </w:pPr>
          </w:p>
        </w:tc>
        <w:tc>
          <w:tcPr>
            <w:tcW w:w="1305"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5D677D">
            <w:pPr>
              <w:pageBreakBefore w:val="0"/>
              <w:kinsoku/>
              <w:wordWrap/>
              <w:overflowPunct/>
              <w:topLinePunct w:val="0"/>
              <w:autoSpaceDE/>
              <w:autoSpaceDN/>
              <w:bidi w:val="0"/>
              <w:spacing w:line="400" w:lineRule="exact"/>
              <w:jc w:val="center"/>
              <w:rPr>
                <w:rFonts w:hint="eastAsia" w:ascii="仿宋" w:hAnsi="仿宋" w:eastAsia="仿宋" w:cs="仿宋"/>
                <w:i w:val="0"/>
                <w:iCs w:val="0"/>
                <w:color w:val="000000"/>
                <w:sz w:val="24"/>
                <w:szCs w:val="24"/>
                <w:highlight w:val="none"/>
                <w:u w:val="none"/>
              </w:rPr>
            </w:pPr>
          </w:p>
        </w:tc>
        <w:tc>
          <w:tcPr>
            <w:tcW w:w="1560" w:type="dxa"/>
            <w:tcBorders>
              <w:top w:val="single" w:color="000000" w:sz="4" w:space="0"/>
              <w:left w:val="single" w:color="000000" w:sz="4" w:space="0"/>
              <w:bottom w:val="single" w:color="000000" w:sz="4" w:space="0"/>
              <w:right w:val="single" w:color="000000" w:sz="4" w:space="0"/>
            </w:tcBorders>
            <w:noWrap w:val="0"/>
            <w:vAlign w:val="center"/>
          </w:tcPr>
          <w:p w14:paraId="4A43D0C9">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停车场责任</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（343）</w:t>
            </w:r>
          </w:p>
        </w:tc>
        <w:tc>
          <w:tcPr>
            <w:tcW w:w="4577" w:type="dxa"/>
            <w:tcBorders>
              <w:top w:val="single" w:color="000000" w:sz="4" w:space="0"/>
              <w:left w:val="single" w:color="000000" w:sz="4" w:space="0"/>
              <w:bottom w:val="single" w:color="000000" w:sz="4" w:space="0"/>
              <w:right w:val="single" w:color="000000" w:sz="4" w:space="0"/>
            </w:tcBorders>
            <w:noWrap w:val="0"/>
            <w:vAlign w:val="center"/>
          </w:tcPr>
          <w:p w14:paraId="3116CB99">
            <w:pPr>
              <w:keepNext w:val="0"/>
              <w:keepLines w:val="0"/>
              <w:pageBreakBefore w:val="0"/>
              <w:widowControl/>
              <w:suppressLineNumbers w:val="0"/>
              <w:kinsoku/>
              <w:wordWrap/>
              <w:overflowPunct/>
              <w:topLinePunct w:val="0"/>
              <w:autoSpaceDE/>
              <w:autoSpaceDN/>
              <w:bidi w:val="0"/>
              <w:spacing w:line="400" w:lineRule="exact"/>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累计限额300万元，每次事故赔偿限额50万元；每次事故每车位赔偿限额：10万元；车辆划痕每次事故每车位赔偿限额0.2万元，划痕累计赔偿限2万元。</w:t>
            </w:r>
          </w:p>
        </w:tc>
        <w:tc>
          <w:tcPr>
            <w:tcW w:w="130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56B81A">
            <w:pPr>
              <w:pageBreakBefore w:val="0"/>
              <w:kinsoku/>
              <w:wordWrap/>
              <w:overflowPunct/>
              <w:topLinePunct w:val="0"/>
              <w:autoSpaceDE/>
              <w:autoSpaceDN/>
              <w:bidi w:val="0"/>
              <w:spacing w:line="400" w:lineRule="exact"/>
              <w:jc w:val="center"/>
              <w:rPr>
                <w:rFonts w:hint="eastAsia" w:ascii="仿宋" w:hAnsi="仿宋" w:eastAsia="仿宋" w:cs="仿宋"/>
                <w:i w:val="0"/>
                <w:iCs w:val="0"/>
                <w:color w:val="000000"/>
                <w:sz w:val="24"/>
                <w:szCs w:val="24"/>
                <w:highlight w:val="none"/>
                <w:u w:val="none"/>
              </w:rPr>
            </w:pPr>
          </w:p>
        </w:tc>
      </w:tr>
      <w:tr w14:paraId="176EE0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32" w:hRule="atLeast"/>
          <w:jc w:val="center"/>
        </w:trPr>
        <w:tc>
          <w:tcPr>
            <w:tcW w:w="654"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1D5A99">
            <w:pPr>
              <w:pageBreakBefore w:val="0"/>
              <w:kinsoku/>
              <w:wordWrap/>
              <w:overflowPunct/>
              <w:topLinePunct w:val="0"/>
              <w:autoSpaceDE/>
              <w:autoSpaceDN/>
              <w:bidi w:val="0"/>
              <w:spacing w:line="400" w:lineRule="exact"/>
              <w:jc w:val="center"/>
              <w:rPr>
                <w:rFonts w:hint="eastAsia" w:ascii="仿宋" w:hAnsi="仿宋" w:eastAsia="仿宋" w:cs="仿宋"/>
                <w:i w:val="0"/>
                <w:iCs w:val="0"/>
                <w:color w:val="000000"/>
                <w:sz w:val="24"/>
                <w:szCs w:val="24"/>
                <w:highlight w:val="none"/>
                <w:u w:val="none"/>
              </w:rPr>
            </w:pPr>
          </w:p>
        </w:tc>
        <w:tc>
          <w:tcPr>
            <w:tcW w:w="1305"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2DCC28">
            <w:pPr>
              <w:pageBreakBefore w:val="0"/>
              <w:kinsoku/>
              <w:wordWrap/>
              <w:overflowPunct/>
              <w:topLinePunct w:val="0"/>
              <w:autoSpaceDE/>
              <w:autoSpaceDN/>
              <w:bidi w:val="0"/>
              <w:spacing w:line="400" w:lineRule="exact"/>
              <w:jc w:val="center"/>
              <w:rPr>
                <w:rFonts w:hint="eastAsia" w:ascii="仿宋" w:hAnsi="仿宋" w:eastAsia="仿宋" w:cs="仿宋"/>
                <w:i w:val="0"/>
                <w:iCs w:val="0"/>
                <w:color w:val="000000"/>
                <w:sz w:val="24"/>
                <w:szCs w:val="24"/>
                <w:highlight w:val="none"/>
                <w:u w:val="none"/>
              </w:rPr>
            </w:pPr>
          </w:p>
        </w:tc>
        <w:tc>
          <w:tcPr>
            <w:tcW w:w="1560" w:type="dxa"/>
            <w:tcBorders>
              <w:top w:val="single" w:color="000000" w:sz="4" w:space="0"/>
              <w:left w:val="single" w:color="000000" w:sz="4" w:space="0"/>
              <w:bottom w:val="single" w:color="000000" w:sz="4" w:space="0"/>
              <w:right w:val="single" w:color="000000" w:sz="4" w:space="0"/>
            </w:tcBorders>
            <w:noWrap w:val="0"/>
            <w:vAlign w:val="center"/>
          </w:tcPr>
          <w:p w14:paraId="0D66DB3B">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火灾和爆炸责任险</w:t>
            </w:r>
          </w:p>
        </w:tc>
        <w:tc>
          <w:tcPr>
            <w:tcW w:w="4577" w:type="dxa"/>
            <w:tcBorders>
              <w:top w:val="single" w:color="000000" w:sz="4" w:space="0"/>
              <w:left w:val="single" w:color="000000" w:sz="4" w:space="0"/>
              <w:bottom w:val="single" w:color="000000" w:sz="4" w:space="0"/>
              <w:right w:val="single" w:color="000000" w:sz="4" w:space="0"/>
            </w:tcBorders>
            <w:noWrap w:val="0"/>
            <w:vAlign w:val="center"/>
          </w:tcPr>
          <w:p w14:paraId="442A09F9">
            <w:pPr>
              <w:keepNext w:val="0"/>
              <w:keepLines w:val="0"/>
              <w:pageBreakBefore w:val="0"/>
              <w:widowControl/>
              <w:suppressLineNumbers w:val="0"/>
              <w:kinsoku/>
              <w:wordWrap/>
              <w:overflowPunct/>
              <w:topLinePunct w:val="0"/>
              <w:autoSpaceDE/>
              <w:autoSpaceDN/>
              <w:bidi w:val="0"/>
              <w:spacing w:line="400" w:lineRule="exact"/>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限额：1000万元,每次事故赔偿限额：500万元,每次事故人身伤亡赔偿限额：150万元,每次事故每人人身伤亡赔偿限额：50万元（其中含医疗费用赔偿限额：5万元）,每次事故财产损失赔偿限额：20万元,每次事故每人财产损失赔偿限额：0.5万元。</w:t>
            </w:r>
          </w:p>
        </w:tc>
        <w:tc>
          <w:tcPr>
            <w:tcW w:w="130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E7A985">
            <w:pPr>
              <w:pageBreakBefore w:val="0"/>
              <w:kinsoku/>
              <w:wordWrap/>
              <w:overflowPunct/>
              <w:topLinePunct w:val="0"/>
              <w:autoSpaceDE/>
              <w:autoSpaceDN/>
              <w:bidi w:val="0"/>
              <w:spacing w:line="400" w:lineRule="exact"/>
              <w:jc w:val="center"/>
              <w:rPr>
                <w:rFonts w:hint="eastAsia" w:ascii="仿宋" w:hAnsi="仿宋" w:eastAsia="仿宋" w:cs="仿宋"/>
                <w:i w:val="0"/>
                <w:iCs w:val="0"/>
                <w:color w:val="000000"/>
                <w:sz w:val="24"/>
                <w:szCs w:val="24"/>
                <w:highlight w:val="none"/>
                <w:u w:val="none"/>
              </w:rPr>
            </w:pPr>
          </w:p>
        </w:tc>
      </w:tr>
      <w:tr w14:paraId="45BCA6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32" w:hRule="atLeast"/>
          <w:jc w:val="center"/>
        </w:trPr>
        <w:tc>
          <w:tcPr>
            <w:tcW w:w="654" w:type="dxa"/>
            <w:vMerge w:val="restart"/>
            <w:tcBorders>
              <w:top w:val="single" w:color="000000" w:sz="4" w:space="0"/>
              <w:left w:val="single" w:color="000000" w:sz="4" w:space="0"/>
              <w:right w:val="single" w:color="000000" w:sz="4" w:space="0"/>
            </w:tcBorders>
            <w:noWrap w:val="0"/>
            <w:vAlign w:val="center"/>
          </w:tcPr>
          <w:p w14:paraId="42DC369C">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4</w:t>
            </w:r>
          </w:p>
        </w:tc>
        <w:tc>
          <w:tcPr>
            <w:tcW w:w="1305" w:type="dxa"/>
            <w:vMerge w:val="restart"/>
            <w:tcBorders>
              <w:top w:val="single" w:color="000000" w:sz="4" w:space="0"/>
              <w:left w:val="single" w:color="000000" w:sz="4" w:space="0"/>
              <w:right w:val="single" w:color="000000" w:sz="4" w:space="0"/>
            </w:tcBorders>
            <w:noWrap w:val="0"/>
            <w:vAlign w:val="center"/>
          </w:tcPr>
          <w:p w14:paraId="00B1F4C2">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default" w:ascii="仿宋" w:hAnsi="仿宋" w:eastAsia="仿宋" w:cs="仿宋"/>
                <w:i w:val="0"/>
                <w:iCs w:val="0"/>
                <w:color w:val="000000"/>
                <w:sz w:val="24"/>
                <w:szCs w:val="24"/>
                <w:highlight w:val="none"/>
                <w:u w:val="none"/>
                <w:lang w:val="en-US"/>
              </w:rPr>
            </w:pPr>
            <w:r>
              <w:rPr>
                <w:rFonts w:hint="eastAsia" w:ascii="仿宋" w:hAnsi="仿宋" w:eastAsia="仿宋" w:cs="仿宋"/>
                <w:i w:val="0"/>
                <w:iCs w:val="0"/>
                <w:color w:val="000000"/>
                <w:kern w:val="0"/>
                <w:sz w:val="24"/>
                <w:szCs w:val="24"/>
                <w:highlight w:val="none"/>
                <w:u w:val="none"/>
                <w:lang w:val="en-US" w:eastAsia="zh-CN" w:bidi="ar"/>
              </w:rPr>
              <w:t>项目四</w:t>
            </w:r>
          </w:p>
        </w:tc>
        <w:tc>
          <w:tcPr>
            <w:tcW w:w="1560" w:type="dxa"/>
            <w:tcBorders>
              <w:top w:val="single" w:color="000000" w:sz="4" w:space="0"/>
              <w:left w:val="single" w:color="000000" w:sz="4" w:space="0"/>
              <w:bottom w:val="single" w:color="000000" w:sz="4" w:space="0"/>
              <w:right w:val="single" w:color="000000" w:sz="4" w:space="0"/>
            </w:tcBorders>
            <w:noWrap w:val="0"/>
            <w:vAlign w:val="center"/>
          </w:tcPr>
          <w:p w14:paraId="2F4ADB11">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公众责任险</w:t>
            </w:r>
          </w:p>
        </w:tc>
        <w:tc>
          <w:tcPr>
            <w:tcW w:w="4577" w:type="dxa"/>
            <w:tcBorders>
              <w:top w:val="single" w:color="000000" w:sz="4" w:space="0"/>
              <w:left w:val="single" w:color="000000" w:sz="4" w:space="0"/>
              <w:bottom w:val="single" w:color="000000" w:sz="4" w:space="0"/>
              <w:right w:val="single" w:color="000000" w:sz="4" w:space="0"/>
            </w:tcBorders>
            <w:noWrap w:val="0"/>
            <w:vAlign w:val="center"/>
          </w:tcPr>
          <w:p w14:paraId="27013D81">
            <w:pPr>
              <w:keepNext w:val="0"/>
              <w:keepLines w:val="0"/>
              <w:pageBreakBefore w:val="0"/>
              <w:widowControl/>
              <w:suppressLineNumbers w:val="0"/>
              <w:kinsoku/>
              <w:wordWrap/>
              <w:overflowPunct/>
              <w:topLinePunct w:val="0"/>
              <w:autoSpaceDE/>
              <w:autoSpaceDN/>
              <w:bidi w:val="0"/>
              <w:spacing w:line="400" w:lineRule="exact"/>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限额：200万元,每次事故赔偿限额：100万元,每次事故人身伤亡赔偿限额：80万元,每次事故每人人身伤亡赔偿限额：20万元（其中含医疗费用赔偿限额：2万元）,每次事故财产损失赔偿限额：20万元,每次事故每人财产损失赔偿限额：0.5万元。</w:t>
            </w:r>
          </w:p>
        </w:tc>
        <w:tc>
          <w:tcPr>
            <w:tcW w:w="1301" w:type="dxa"/>
            <w:tcBorders>
              <w:top w:val="single" w:color="000000" w:sz="4" w:space="0"/>
              <w:left w:val="single" w:color="000000" w:sz="4" w:space="0"/>
              <w:bottom w:val="single" w:color="000000" w:sz="4" w:space="0"/>
              <w:right w:val="single" w:color="000000" w:sz="4" w:space="0"/>
            </w:tcBorders>
            <w:noWrap w:val="0"/>
            <w:vAlign w:val="center"/>
          </w:tcPr>
          <w:p w14:paraId="74F7CCE9">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2860</w:t>
            </w:r>
          </w:p>
        </w:tc>
      </w:tr>
      <w:tr w14:paraId="365B31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32" w:hRule="atLeast"/>
          <w:jc w:val="center"/>
        </w:trPr>
        <w:tc>
          <w:tcPr>
            <w:tcW w:w="654" w:type="dxa"/>
            <w:vMerge w:val="continue"/>
            <w:tcBorders>
              <w:left w:val="single" w:color="000000" w:sz="4" w:space="0"/>
              <w:bottom w:val="single" w:color="000000" w:sz="4" w:space="0"/>
              <w:right w:val="single" w:color="000000" w:sz="4" w:space="0"/>
            </w:tcBorders>
            <w:noWrap w:val="0"/>
            <w:vAlign w:val="center"/>
          </w:tcPr>
          <w:p w14:paraId="1CF66D49">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仿宋" w:hAnsi="仿宋" w:eastAsia="仿宋" w:cs="仿宋"/>
                <w:i w:val="0"/>
                <w:iCs w:val="0"/>
                <w:color w:val="000000"/>
                <w:kern w:val="0"/>
                <w:sz w:val="24"/>
                <w:szCs w:val="24"/>
                <w:highlight w:val="none"/>
                <w:u w:val="none"/>
                <w:lang w:val="en-US" w:eastAsia="zh-CN" w:bidi="ar"/>
              </w:rPr>
            </w:pPr>
          </w:p>
        </w:tc>
        <w:tc>
          <w:tcPr>
            <w:tcW w:w="1305" w:type="dxa"/>
            <w:vMerge w:val="continue"/>
            <w:tcBorders>
              <w:left w:val="single" w:color="000000" w:sz="4" w:space="0"/>
              <w:bottom w:val="single" w:color="000000" w:sz="4" w:space="0"/>
              <w:right w:val="single" w:color="000000" w:sz="4" w:space="0"/>
            </w:tcBorders>
            <w:noWrap w:val="0"/>
            <w:vAlign w:val="center"/>
          </w:tcPr>
          <w:p w14:paraId="2798C0F7">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仿宋" w:hAnsi="仿宋" w:eastAsia="仿宋" w:cs="仿宋"/>
                <w:i w:val="0"/>
                <w:iCs w:val="0"/>
                <w:color w:val="000000"/>
                <w:kern w:val="0"/>
                <w:sz w:val="24"/>
                <w:szCs w:val="24"/>
                <w:highlight w:val="none"/>
                <w:u w:val="none"/>
                <w:lang w:val="en-US" w:eastAsia="zh-CN" w:bidi="ar"/>
              </w:rPr>
            </w:pPr>
          </w:p>
        </w:tc>
        <w:tc>
          <w:tcPr>
            <w:tcW w:w="1560" w:type="dxa"/>
            <w:tcBorders>
              <w:top w:val="single" w:color="000000" w:sz="4" w:space="0"/>
              <w:left w:val="single" w:color="000000" w:sz="4" w:space="0"/>
              <w:bottom w:val="single" w:color="000000" w:sz="4" w:space="0"/>
              <w:right w:val="single" w:color="000000" w:sz="4" w:space="0"/>
            </w:tcBorders>
            <w:noWrap w:val="0"/>
            <w:vAlign w:val="center"/>
          </w:tcPr>
          <w:p w14:paraId="70B2B309">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公众责任险及附加停车场责任险、附加电梯责任险、附加火灾爆炸</w:t>
            </w:r>
          </w:p>
        </w:tc>
        <w:tc>
          <w:tcPr>
            <w:tcW w:w="4577" w:type="dxa"/>
            <w:tcBorders>
              <w:top w:val="single" w:color="000000" w:sz="4" w:space="0"/>
              <w:left w:val="single" w:color="000000" w:sz="4" w:space="0"/>
              <w:bottom w:val="single" w:color="000000" w:sz="4" w:space="0"/>
              <w:right w:val="single" w:color="000000" w:sz="4" w:space="0"/>
            </w:tcBorders>
            <w:noWrap w:val="0"/>
            <w:vAlign w:val="center"/>
          </w:tcPr>
          <w:p w14:paraId="7FB3653A">
            <w:pPr>
              <w:keepNext w:val="0"/>
              <w:keepLines w:val="0"/>
              <w:pageBreakBefore w:val="0"/>
              <w:widowControl/>
              <w:suppressLineNumbers w:val="0"/>
              <w:kinsoku/>
              <w:wordWrap/>
              <w:overflowPunct/>
              <w:topLinePunct w:val="0"/>
              <w:autoSpaceDE/>
              <w:autoSpaceDN/>
              <w:bidi w:val="0"/>
              <w:spacing w:line="400" w:lineRule="exact"/>
              <w:jc w:val="left"/>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 xml:space="preserve">主险：累计赔偿限额：200万 每次事故赔偿限额：100 万 每次事故人身伤亡责任限额：80万 每次事故每人人身伤亡责任限额：20万 每次事故每人医疗责任限额：2万 每次事故财产赔偿限额：10万 每次事故每人财产赔偿限额：0.5万 </w:t>
            </w:r>
          </w:p>
          <w:p w14:paraId="66171301">
            <w:pPr>
              <w:keepNext w:val="0"/>
              <w:keepLines w:val="0"/>
              <w:pageBreakBefore w:val="0"/>
              <w:widowControl/>
              <w:suppressLineNumbers w:val="0"/>
              <w:kinsoku/>
              <w:wordWrap/>
              <w:overflowPunct/>
              <w:topLinePunct w:val="0"/>
              <w:autoSpaceDE/>
              <w:autoSpaceDN/>
              <w:bidi w:val="0"/>
              <w:spacing w:line="400" w:lineRule="exact"/>
              <w:jc w:val="left"/>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 xml:space="preserve">（2）附加险（名称及限额）：1）附加停车场责任险2）附加电梯责任险（7部）：保额同主险。3）附加火灾爆炸：保额 同主险 </w:t>
            </w:r>
          </w:p>
          <w:p w14:paraId="0DD150F3">
            <w:pPr>
              <w:keepNext w:val="0"/>
              <w:keepLines w:val="0"/>
              <w:pageBreakBefore w:val="0"/>
              <w:widowControl/>
              <w:suppressLineNumbers w:val="0"/>
              <w:kinsoku/>
              <w:wordWrap/>
              <w:overflowPunct/>
              <w:topLinePunct w:val="0"/>
              <w:autoSpaceDE/>
              <w:autoSpaceDN/>
              <w:bidi w:val="0"/>
              <w:spacing w:line="400" w:lineRule="exact"/>
              <w:jc w:val="left"/>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（3）特约： 1.本保单项下《附加停车场责任险》：（1）累计赔偿限额200万，每次事故赔偿限额100万，每次事故每车位赔偿限额10万元（其中停放划痕和停放被撞每次事故限额2000元，累计限额2万）。（2）全车盗抢责任绝对免赔率为30%。（3）本保单承保车位共 182个（不含机械式停车位），</w:t>
            </w:r>
          </w:p>
        </w:tc>
        <w:tc>
          <w:tcPr>
            <w:tcW w:w="1301" w:type="dxa"/>
            <w:tcBorders>
              <w:top w:val="single" w:color="000000" w:sz="4" w:space="0"/>
              <w:left w:val="single" w:color="000000" w:sz="4" w:space="0"/>
              <w:bottom w:val="single" w:color="000000" w:sz="4" w:space="0"/>
              <w:right w:val="single" w:color="000000" w:sz="4" w:space="0"/>
            </w:tcBorders>
            <w:noWrap w:val="0"/>
            <w:vAlign w:val="center"/>
          </w:tcPr>
          <w:p w14:paraId="45028205">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default"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5000</w:t>
            </w:r>
          </w:p>
        </w:tc>
      </w:tr>
      <w:tr w14:paraId="3BE648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26" w:hRule="atLeast"/>
          <w:jc w:val="center"/>
        </w:trPr>
        <w:tc>
          <w:tcPr>
            <w:tcW w:w="654" w:type="dxa"/>
            <w:tcBorders>
              <w:top w:val="single" w:color="000000" w:sz="4" w:space="0"/>
              <w:left w:val="single" w:color="000000" w:sz="4" w:space="0"/>
              <w:bottom w:val="single" w:color="000000" w:sz="4" w:space="0"/>
              <w:right w:val="single" w:color="000000" w:sz="4" w:space="0"/>
            </w:tcBorders>
            <w:noWrap w:val="0"/>
            <w:vAlign w:val="center"/>
          </w:tcPr>
          <w:p w14:paraId="7840CA18">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5</w:t>
            </w:r>
          </w:p>
        </w:tc>
        <w:tc>
          <w:tcPr>
            <w:tcW w:w="1305" w:type="dxa"/>
            <w:tcBorders>
              <w:top w:val="single" w:color="000000" w:sz="4" w:space="0"/>
              <w:left w:val="single" w:color="000000" w:sz="4" w:space="0"/>
              <w:bottom w:val="single" w:color="000000" w:sz="4" w:space="0"/>
              <w:right w:val="single" w:color="000000" w:sz="4" w:space="0"/>
            </w:tcBorders>
            <w:noWrap w:val="0"/>
            <w:vAlign w:val="center"/>
          </w:tcPr>
          <w:p w14:paraId="4C52B63A">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default" w:ascii="仿宋" w:hAnsi="仿宋" w:eastAsia="仿宋" w:cs="仿宋"/>
                <w:i w:val="0"/>
                <w:iCs w:val="0"/>
                <w:color w:val="000000"/>
                <w:sz w:val="24"/>
                <w:szCs w:val="24"/>
                <w:highlight w:val="none"/>
                <w:u w:val="none"/>
                <w:lang w:val="en-US"/>
              </w:rPr>
            </w:pPr>
            <w:r>
              <w:rPr>
                <w:rFonts w:hint="eastAsia" w:ascii="仿宋" w:hAnsi="仿宋" w:eastAsia="仿宋" w:cs="仿宋"/>
                <w:i w:val="0"/>
                <w:iCs w:val="0"/>
                <w:color w:val="000000"/>
                <w:kern w:val="0"/>
                <w:sz w:val="24"/>
                <w:szCs w:val="24"/>
                <w:highlight w:val="none"/>
                <w:u w:val="none"/>
                <w:lang w:val="en-US" w:eastAsia="zh-CN" w:bidi="ar"/>
              </w:rPr>
              <w:t>项目五</w:t>
            </w:r>
          </w:p>
        </w:tc>
        <w:tc>
          <w:tcPr>
            <w:tcW w:w="1560" w:type="dxa"/>
            <w:tcBorders>
              <w:top w:val="single" w:color="000000" w:sz="4" w:space="0"/>
              <w:left w:val="single" w:color="000000" w:sz="4" w:space="0"/>
              <w:bottom w:val="single" w:color="000000" w:sz="4" w:space="0"/>
              <w:right w:val="single" w:color="000000" w:sz="4" w:space="0"/>
            </w:tcBorders>
            <w:noWrap w:val="0"/>
            <w:vAlign w:val="center"/>
          </w:tcPr>
          <w:p w14:paraId="5CCC7F8C">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公众责任险</w:t>
            </w:r>
          </w:p>
        </w:tc>
        <w:tc>
          <w:tcPr>
            <w:tcW w:w="4577" w:type="dxa"/>
            <w:tcBorders>
              <w:top w:val="single" w:color="000000" w:sz="4" w:space="0"/>
              <w:left w:val="single" w:color="000000" w:sz="4" w:space="0"/>
              <w:bottom w:val="single" w:color="000000" w:sz="4" w:space="0"/>
              <w:right w:val="single" w:color="000000" w:sz="4" w:space="0"/>
            </w:tcBorders>
            <w:noWrap w:val="0"/>
            <w:vAlign w:val="center"/>
          </w:tcPr>
          <w:p w14:paraId="0920B7CE">
            <w:pPr>
              <w:keepNext w:val="0"/>
              <w:keepLines w:val="0"/>
              <w:pageBreakBefore w:val="0"/>
              <w:widowControl/>
              <w:suppressLineNumbers w:val="0"/>
              <w:kinsoku/>
              <w:wordWrap/>
              <w:overflowPunct/>
              <w:topLinePunct w:val="0"/>
              <w:autoSpaceDE/>
              <w:autoSpaceDN/>
              <w:bidi w:val="0"/>
              <w:spacing w:line="400" w:lineRule="exact"/>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全年限额500万，每次事故限额500万；</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每次事故财产损失100万，每次人身伤亡400万，每次每人50万(其中医疗5万元)，财产损失1万</w:t>
            </w:r>
          </w:p>
        </w:tc>
        <w:tc>
          <w:tcPr>
            <w:tcW w:w="1301" w:type="dxa"/>
            <w:tcBorders>
              <w:top w:val="single" w:color="000000" w:sz="4" w:space="0"/>
              <w:left w:val="single" w:color="000000" w:sz="4" w:space="0"/>
              <w:bottom w:val="single" w:color="000000" w:sz="4" w:space="0"/>
              <w:right w:val="single" w:color="000000" w:sz="4" w:space="0"/>
            </w:tcBorders>
            <w:noWrap w:val="0"/>
            <w:vAlign w:val="center"/>
          </w:tcPr>
          <w:p w14:paraId="35E8AF8D">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6600</w:t>
            </w:r>
          </w:p>
        </w:tc>
      </w:tr>
      <w:tr w14:paraId="26BEB6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23" w:hRule="atLeast"/>
          <w:jc w:val="center"/>
        </w:trPr>
        <w:tc>
          <w:tcPr>
            <w:tcW w:w="654" w:type="dxa"/>
            <w:vMerge w:val="restart"/>
            <w:tcBorders>
              <w:top w:val="single" w:color="000000" w:sz="4" w:space="0"/>
              <w:left w:val="single" w:color="000000" w:sz="4" w:space="0"/>
              <w:bottom w:val="single" w:color="000000" w:sz="4" w:space="0"/>
              <w:right w:val="single" w:color="000000" w:sz="4" w:space="0"/>
            </w:tcBorders>
            <w:noWrap w:val="0"/>
            <w:vAlign w:val="center"/>
          </w:tcPr>
          <w:p w14:paraId="44935C84">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6</w:t>
            </w:r>
          </w:p>
        </w:tc>
        <w:tc>
          <w:tcPr>
            <w:tcW w:w="1305" w:type="dxa"/>
            <w:vMerge w:val="restart"/>
            <w:tcBorders>
              <w:top w:val="single" w:color="000000" w:sz="4" w:space="0"/>
              <w:left w:val="single" w:color="000000" w:sz="4" w:space="0"/>
              <w:bottom w:val="single" w:color="000000" w:sz="4" w:space="0"/>
              <w:right w:val="single" w:color="000000" w:sz="4" w:space="0"/>
            </w:tcBorders>
            <w:noWrap w:val="0"/>
            <w:vAlign w:val="center"/>
          </w:tcPr>
          <w:p w14:paraId="49EC4BDC">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default" w:ascii="仿宋" w:hAnsi="仿宋" w:eastAsia="仿宋" w:cs="仿宋"/>
                <w:i w:val="0"/>
                <w:iCs w:val="0"/>
                <w:color w:val="000000"/>
                <w:sz w:val="24"/>
                <w:szCs w:val="24"/>
                <w:highlight w:val="none"/>
                <w:u w:val="none"/>
                <w:lang w:val="en-US"/>
              </w:rPr>
            </w:pPr>
            <w:r>
              <w:rPr>
                <w:rFonts w:hint="eastAsia" w:ascii="仿宋" w:hAnsi="仿宋" w:eastAsia="仿宋" w:cs="仿宋"/>
                <w:i w:val="0"/>
                <w:iCs w:val="0"/>
                <w:color w:val="000000"/>
                <w:kern w:val="0"/>
                <w:sz w:val="24"/>
                <w:szCs w:val="24"/>
                <w:highlight w:val="none"/>
                <w:u w:val="none"/>
                <w:lang w:val="en-US" w:eastAsia="zh-CN" w:bidi="ar"/>
              </w:rPr>
              <w:t>项目六</w:t>
            </w:r>
          </w:p>
        </w:tc>
        <w:tc>
          <w:tcPr>
            <w:tcW w:w="1560" w:type="dxa"/>
            <w:tcBorders>
              <w:top w:val="single" w:color="000000" w:sz="4" w:space="0"/>
              <w:left w:val="single" w:color="000000" w:sz="4" w:space="0"/>
              <w:bottom w:val="single" w:color="000000" w:sz="4" w:space="0"/>
              <w:right w:val="single" w:color="000000" w:sz="4" w:space="0"/>
            </w:tcBorders>
            <w:noWrap w:val="0"/>
            <w:vAlign w:val="center"/>
          </w:tcPr>
          <w:p w14:paraId="2BF04E5A">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停车场责任险</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（150个）</w:t>
            </w:r>
          </w:p>
        </w:tc>
        <w:tc>
          <w:tcPr>
            <w:tcW w:w="4577" w:type="dxa"/>
            <w:tcBorders>
              <w:top w:val="single" w:color="000000" w:sz="4" w:space="0"/>
              <w:left w:val="single" w:color="000000" w:sz="4" w:space="0"/>
              <w:bottom w:val="single" w:color="000000" w:sz="4" w:space="0"/>
              <w:right w:val="single" w:color="000000" w:sz="4" w:space="0"/>
            </w:tcBorders>
            <w:noWrap w:val="0"/>
            <w:vAlign w:val="center"/>
          </w:tcPr>
          <w:p w14:paraId="438DD9C7">
            <w:pPr>
              <w:keepNext w:val="0"/>
              <w:keepLines w:val="0"/>
              <w:pageBreakBefore w:val="0"/>
              <w:widowControl/>
              <w:suppressLineNumbers w:val="0"/>
              <w:kinsoku/>
              <w:wordWrap/>
              <w:overflowPunct/>
              <w:topLinePunct w:val="0"/>
              <w:autoSpaceDE/>
              <w:autoSpaceDN/>
              <w:bidi w:val="0"/>
              <w:spacing w:line="400" w:lineRule="exact"/>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累计赔偿限额200万元，每次事故赔偿限额30万元;每次事故每车位赔偿限额:3万元;车辆划痕每次事故每车位赔偿限额1万元</w:t>
            </w:r>
          </w:p>
        </w:tc>
        <w:tc>
          <w:tcPr>
            <w:tcW w:w="1301" w:type="dxa"/>
            <w:vMerge w:val="restart"/>
            <w:tcBorders>
              <w:top w:val="single" w:color="000000" w:sz="4" w:space="0"/>
              <w:left w:val="single" w:color="000000" w:sz="4" w:space="0"/>
              <w:bottom w:val="single" w:color="000000" w:sz="4" w:space="0"/>
              <w:right w:val="single" w:color="000000" w:sz="4" w:space="0"/>
            </w:tcBorders>
            <w:noWrap w:val="0"/>
            <w:vAlign w:val="center"/>
          </w:tcPr>
          <w:p w14:paraId="1C3C6701">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3300</w:t>
            </w:r>
          </w:p>
        </w:tc>
      </w:tr>
      <w:tr w14:paraId="2DC465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29" w:hRule="atLeast"/>
          <w:jc w:val="center"/>
        </w:trPr>
        <w:tc>
          <w:tcPr>
            <w:tcW w:w="654"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2DBBEC">
            <w:pPr>
              <w:pageBreakBefore w:val="0"/>
              <w:kinsoku/>
              <w:wordWrap/>
              <w:overflowPunct/>
              <w:topLinePunct w:val="0"/>
              <w:autoSpaceDE/>
              <w:autoSpaceDN/>
              <w:bidi w:val="0"/>
              <w:spacing w:line="400" w:lineRule="exact"/>
              <w:jc w:val="center"/>
              <w:rPr>
                <w:rFonts w:hint="eastAsia" w:ascii="仿宋" w:hAnsi="仿宋" w:eastAsia="仿宋" w:cs="仿宋"/>
                <w:i w:val="0"/>
                <w:iCs w:val="0"/>
                <w:color w:val="000000"/>
                <w:sz w:val="24"/>
                <w:szCs w:val="24"/>
                <w:highlight w:val="none"/>
                <w:u w:val="none"/>
              </w:rPr>
            </w:pPr>
          </w:p>
        </w:tc>
        <w:tc>
          <w:tcPr>
            <w:tcW w:w="1305"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27A978">
            <w:pPr>
              <w:pageBreakBefore w:val="0"/>
              <w:kinsoku/>
              <w:wordWrap/>
              <w:overflowPunct/>
              <w:topLinePunct w:val="0"/>
              <w:autoSpaceDE/>
              <w:autoSpaceDN/>
              <w:bidi w:val="0"/>
              <w:spacing w:line="400" w:lineRule="exact"/>
              <w:jc w:val="center"/>
              <w:rPr>
                <w:rFonts w:hint="eastAsia" w:ascii="仿宋" w:hAnsi="仿宋" w:eastAsia="仿宋" w:cs="仿宋"/>
                <w:i w:val="0"/>
                <w:iCs w:val="0"/>
                <w:color w:val="000000"/>
                <w:sz w:val="24"/>
                <w:szCs w:val="24"/>
                <w:highlight w:val="none"/>
                <w:u w:val="none"/>
              </w:rPr>
            </w:pPr>
          </w:p>
        </w:tc>
        <w:tc>
          <w:tcPr>
            <w:tcW w:w="1560" w:type="dxa"/>
            <w:tcBorders>
              <w:top w:val="single" w:color="000000" w:sz="4" w:space="0"/>
              <w:left w:val="single" w:color="000000" w:sz="4" w:space="0"/>
              <w:bottom w:val="single" w:color="000000" w:sz="4" w:space="0"/>
              <w:right w:val="single" w:color="000000" w:sz="4" w:space="0"/>
            </w:tcBorders>
            <w:noWrap w:val="0"/>
            <w:vAlign w:val="center"/>
          </w:tcPr>
          <w:p w14:paraId="2A909E54">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电梯责任险</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（2台）</w:t>
            </w:r>
          </w:p>
        </w:tc>
        <w:tc>
          <w:tcPr>
            <w:tcW w:w="4577" w:type="dxa"/>
            <w:tcBorders>
              <w:top w:val="single" w:color="000000" w:sz="4" w:space="0"/>
              <w:left w:val="single" w:color="000000" w:sz="4" w:space="0"/>
              <w:bottom w:val="single" w:color="000000" w:sz="4" w:space="0"/>
              <w:right w:val="single" w:color="000000" w:sz="4" w:space="0"/>
            </w:tcBorders>
            <w:noWrap w:val="0"/>
            <w:vAlign w:val="center"/>
          </w:tcPr>
          <w:p w14:paraId="73FD9728">
            <w:pPr>
              <w:keepNext w:val="0"/>
              <w:keepLines w:val="0"/>
              <w:pageBreakBefore w:val="0"/>
              <w:widowControl/>
              <w:suppressLineNumbers w:val="0"/>
              <w:kinsoku/>
              <w:wordWrap/>
              <w:overflowPunct/>
              <w:topLinePunct w:val="0"/>
              <w:autoSpaceDE/>
              <w:autoSpaceDN/>
              <w:bidi w:val="0"/>
              <w:spacing w:line="400" w:lineRule="exact"/>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全年500万元，每次500万元；每次事故人身伤亡赔偿限额:480万，每次每人人身伤亡赔偿限额:50万元(其中含医疗5万元)，每次事故财产损失赔偿限额20万元，每次事故每人财产损失赔偿限额:0.5万元</w:t>
            </w:r>
          </w:p>
        </w:tc>
        <w:tc>
          <w:tcPr>
            <w:tcW w:w="130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9583EC">
            <w:pPr>
              <w:pageBreakBefore w:val="0"/>
              <w:kinsoku/>
              <w:wordWrap/>
              <w:overflowPunct/>
              <w:topLinePunct w:val="0"/>
              <w:autoSpaceDE/>
              <w:autoSpaceDN/>
              <w:bidi w:val="0"/>
              <w:spacing w:line="400" w:lineRule="exact"/>
              <w:jc w:val="center"/>
              <w:rPr>
                <w:rFonts w:hint="eastAsia" w:ascii="仿宋" w:hAnsi="仿宋" w:eastAsia="仿宋" w:cs="仿宋"/>
                <w:i w:val="0"/>
                <w:iCs w:val="0"/>
                <w:color w:val="000000"/>
                <w:sz w:val="24"/>
                <w:szCs w:val="24"/>
                <w:highlight w:val="none"/>
                <w:u w:val="none"/>
              </w:rPr>
            </w:pPr>
          </w:p>
        </w:tc>
      </w:tr>
      <w:tr w14:paraId="582DBC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26" w:hRule="atLeast"/>
          <w:jc w:val="center"/>
        </w:trPr>
        <w:tc>
          <w:tcPr>
            <w:tcW w:w="654" w:type="dxa"/>
            <w:vMerge w:val="restart"/>
            <w:tcBorders>
              <w:top w:val="single" w:color="000000" w:sz="4" w:space="0"/>
              <w:left w:val="single" w:color="000000" w:sz="4" w:space="0"/>
              <w:bottom w:val="single" w:color="000000" w:sz="4" w:space="0"/>
              <w:right w:val="single" w:color="000000" w:sz="4" w:space="0"/>
            </w:tcBorders>
            <w:noWrap w:val="0"/>
            <w:vAlign w:val="center"/>
          </w:tcPr>
          <w:p w14:paraId="2315F3DF">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7</w:t>
            </w:r>
          </w:p>
        </w:tc>
        <w:tc>
          <w:tcPr>
            <w:tcW w:w="1305" w:type="dxa"/>
            <w:vMerge w:val="restart"/>
            <w:tcBorders>
              <w:top w:val="single" w:color="000000" w:sz="4" w:space="0"/>
              <w:left w:val="single" w:color="000000" w:sz="4" w:space="0"/>
              <w:bottom w:val="single" w:color="000000" w:sz="4" w:space="0"/>
              <w:right w:val="single" w:color="000000" w:sz="4" w:space="0"/>
            </w:tcBorders>
            <w:noWrap w:val="0"/>
            <w:vAlign w:val="center"/>
          </w:tcPr>
          <w:p w14:paraId="6809AC9A">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default" w:ascii="仿宋" w:hAnsi="仿宋" w:eastAsia="仿宋" w:cs="仿宋"/>
                <w:i w:val="0"/>
                <w:iCs w:val="0"/>
                <w:color w:val="000000"/>
                <w:sz w:val="24"/>
                <w:szCs w:val="24"/>
                <w:highlight w:val="none"/>
                <w:u w:val="none"/>
                <w:lang w:val="en-US"/>
              </w:rPr>
            </w:pPr>
            <w:r>
              <w:rPr>
                <w:rFonts w:hint="eastAsia" w:ascii="仿宋" w:hAnsi="仿宋" w:eastAsia="仿宋" w:cs="仿宋"/>
                <w:i w:val="0"/>
                <w:iCs w:val="0"/>
                <w:color w:val="000000"/>
                <w:kern w:val="0"/>
                <w:sz w:val="24"/>
                <w:szCs w:val="24"/>
                <w:highlight w:val="none"/>
                <w:u w:val="none"/>
                <w:lang w:val="en-US" w:eastAsia="zh-CN" w:bidi="ar"/>
              </w:rPr>
              <w:t>项目七</w:t>
            </w:r>
          </w:p>
        </w:tc>
        <w:tc>
          <w:tcPr>
            <w:tcW w:w="1560" w:type="dxa"/>
            <w:tcBorders>
              <w:top w:val="single" w:color="000000" w:sz="4" w:space="0"/>
              <w:left w:val="single" w:color="000000" w:sz="4" w:space="0"/>
              <w:bottom w:val="single" w:color="000000" w:sz="4" w:space="0"/>
              <w:right w:val="single" w:color="000000" w:sz="4" w:space="0"/>
            </w:tcBorders>
            <w:noWrap w:val="0"/>
            <w:vAlign w:val="center"/>
          </w:tcPr>
          <w:p w14:paraId="52CEC0F0">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公众责任险</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（附加火灾、火灾爆炸）</w:t>
            </w:r>
          </w:p>
        </w:tc>
        <w:tc>
          <w:tcPr>
            <w:tcW w:w="4577" w:type="dxa"/>
            <w:tcBorders>
              <w:top w:val="single" w:color="000000" w:sz="4" w:space="0"/>
              <w:left w:val="single" w:color="000000" w:sz="4" w:space="0"/>
              <w:bottom w:val="single" w:color="000000" w:sz="4" w:space="0"/>
              <w:right w:val="single" w:color="000000" w:sz="4" w:space="0"/>
            </w:tcBorders>
            <w:noWrap w:val="0"/>
            <w:vAlign w:val="center"/>
          </w:tcPr>
          <w:p w14:paraId="353C730C">
            <w:pPr>
              <w:keepNext w:val="0"/>
              <w:keepLines w:val="0"/>
              <w:pageBreakBefore w:val="0"/>
              <w:widowControl/>
              <w:suppressLineNumbers w:val="0"/>
              <w:kinsoku/>
              <w:wordWrap/>
              <w:overflowPunct/>
              <w:topLinePunct w:val="0"/>
              <w:autoSpaceDE/>
              <w:autoSpaceDN/>
              <w:bidi w:val="0"/>
              <w:spacing w:line="400" w:lineRule="exact"/>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全年限额500万，每次事故限额500万；</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每次事故财产损失100万，每次人身伤亡400万，每次每人50万(其中医疗5万元)，财产损失1万</w:t>
            </w:r>
          </w:p>
        </w:tc>
        <w:tc>
          <w:tcPr>
            <w:tcW w:w="1301" w:type="dxa"/>
            <w:vMerge w:val="restart"/>
            <w:tcBorders>
              <w:top w:val="single" w:color="000000" w:sz="4" w:space="0"/>
              <w:left w:val="single" w:color="000000" w:sz="4" w:space="0"/>
              <w:bottom w:val="single" w:color="000000" w:sz="4" w:space="0"/>
              <w:right w:val="single" w:color="000000" w:sz="4" w:space="0"/>
            </w:tcBorders>
            <w:noWrap w:val="0"/>
            <w:vAlign w:val="center"/>
          </w:tcPr>
          <w:p w14:paraId="4E9FAA8A">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6193</w:t>
            </w:r>
          </w:p>
        </w:tc>
      </w:tr>
      <w:tr w14:paraId="785A8D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26" w:hRule="atLeast"/>
          <w:jc w:val="center"/>
        </w:trPr>
        <w:tc>
          <w:tcPr>
            <w:tcW w:w="65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9E74B4">
            <w:pPr>
              <w:pageBreakBefore w:val="0"/>
              <w:kinsoku/>
              <w:wordWrap/>
              <w:overflowPunct/>
              <w:topLinePunct w:val="0"/>
              <w:autoSpaceDE/>
              <w:autoSpaceDN/>
              <w:bidi w:val="0"/>
              <w:spacing w:line="400" w:lineRule="exact"/>
              <w:jc w:val="center"/>
              <w:rPr>
                <w:rFonts w:hint="eastAsia" w:ascii="仿宋" w:hAnsi="仿宋" w:eastAsia="仿宋" w:cs="仿宋"/>
                <w:i w:val="0"/>
                <w:iCs w:val="0"/>
                <w:color w:val="000000"/>
                <w:sz w:val="24"/>
                <w:szCs w:val="24"/>
                <w:highlight w:val="none"/>
                <w:u w:val="none"/>
              </w:rPr>
            </w:pPr>
          </w:p>
        </w:tc>
        <w:tc>
          <w:tcPr>
            <w:tcW w:w="1305"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947EEC">
            <w:pPr>
              <w:pageBreakBefore w:val="0"/>
              <w:kinsoku/>
              <w:wordWrap/>
              <w:overflowPunct/>
              <w:topLinePunct w:val="0"/>
              <w:autoSpaceDE/>
              <w:autoSpaceDN/>
              <w:bidi w:val="0"/>
              <w:spacing w:line="400" w:lineRule="exact"/>
              <w:jc w:val="center"/>
              <w:rPr>
                <w:rFonts w:hint="eastAsia" w:ascii="仿宋" w:hAnsi="仿宋" w:eastAsia="仿宋" w:cs="仿宋"/>
                <w:i w:val="0"/>
                <w:iCs w:val="0"/>
                <w:color w:val="000000"/>
                <w:sz w:val="24"/>
                <w:szCs w:val="24"/>
                <w:highlight w:val="none"/>
                <w:u w:val="none"/>
              </w:rPr>
            </w:pPr>
          </w:p>
        </w:tc>
        <w:tc>
          <w:tcPr>
            <w:tcW w:w="1560" w:type="dxa"/>
            <w:tcBorders>
              <w:top w:val="single" w:color="000000" w:sz="4" w:space="0"/>
              <w:left w:val="single" w:color="000000" w:sz="4" w:space="0"/>
              <w:bottom w:val="single" w:color="000000" w:sz="4" w:space="0"/>
              <w:right w:val="single" w:color="000000" w:sz="4" w:space="0"/>
            </w:tcBorders>
            <w:noWrap w:val="0"/>
            <w:vAlign w:val="center"/>
          </w:tcPr>
          <w:p w14:paraId="181578A6">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停车场责任险</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（25个）</w:t>
            </w:r>
          </w:p>
        </w:tc>
        <w:tc>
          <w:tcPr>
            <w:tcW w:w="4577" w:type="dxa"/>
            <w:tcBorders>
              <w:top w:val="single" w:color="000000" w:sz="4" w:space="0"/>
              <w:left w:val="single" w:color="000000" w:sz="4" w:space="0"/>
              <w:bottom w:val="single" w:color="000000" w:sz="4" w:space="0"/>
              <w:right w:val="single" w:color="000000" w:sz="4" w:space="0"/>
            </w:tcBorders>
            <w:noWrap w:val="0"/>
            <w:vAlign w:val="center"/>
          </w:tcPr>
          <w:p w14:paraId="3EE54B76">
            <w:pPr>
              <w:keepNext w:val="0"/>
              <w:keepLines w:val="0"/>
              <w:pageBreakBefore w:val="0"/>
              <w:widowControl/>
              <w:suppressLineNumbers w:val="0"/>
              <w:kinsoku/>
              <w:wordWrap/>
              <w:overflowPunct/>
              <w:topLinePunct w:val="0"/>
              <w:autoSpaceDE/>
              <w:autoSpaceDN/>
              <w:bidi w:val="0"/>
              <w:spacing w:line="400" w:lineRule="exact"/>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累计赔偿限额200万元，每次事故赔偿限额30万元;每次事故每车位赔偿限额:2万元;车辆划痕每次事故每车位赔偿限额0.2万元，划痕累计赔偿限2万元</w:t>
            </w:r>
          </w:p>
        </w:tc>
        <w:tc>
          <w:tcPr>
            <w:tcW w:w="130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E5875F">
            <w:pPr>
              <w:pageBreakBefore w:val="0"/>
              <w:kinsoku/>
              <w:wordWrap/>
              <w:overflowPunct/>
              <w:topLinePunct w:val="0"/>
              <w:autoSpaceDE/>
              <w:autoSpaceDN/>
              <w:bidi w:val="0"/>
              <w:spacing w:line="400" w:lineRule="exact"/>
              <w:jc w:val="center"/>
              <w:rPr>
                <w:rFonts w:hint="eastAsia" w:ascii="仿宋" w:hAnsi="仿宋" w:eastAsia="仿宋" w:cs="仿宋"/>
                <w:i w:val="0"/>
                <w:iCs w:val="0"/>
                <w:color w:val="000000"/>
                <w:sz w:val="24"/>
                <w:szCs w:val="24"/>
                <w:highlight w:val="none"/>
                <w:u w:val="none"/>
              </w:rPr>
            </w:pPr>
          </w:p>
        </w:tc>
      </w:tr>
      <w:tr w14:paraId="6E54A8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29" w:hRule="atLeast"/>
          <w:jc w:val="center"/>
        </w:trPr>
        <w:tc>
          <w:tcPr>
            <w:tcW w:w="654"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B765E7">
            <w:pPr>
              <w:pageBreakBefore w:val="0"/>
              <w:kinsoku/>
              <w:wordWrap/>
              <w:overflowPunct/>
              <w:topLinePunct w:val="0"/>
              <w:autoSpaceDE/>
              <w:autoSpaceDN/>
              <w:bidi w:val="0"/>
              <w:spacing w:line="400" w:lineRule="exact"/>
              <w:jc w:val="center"/>
              <w:rPr>
                <w:rFonts w:hint="eastAsia" w:ascii="仿宋" w:hAnsi="仿宋" w:eastAsia="仿宋" w:cs="仿宋"/>
                <w:i w:val="0"/>
                <w:iCs w:val="0"/>
                <w:color w:val="000000"/>
                <w:sz w:val="24"/>
                <w:szCs w:val="24"/>
                <w:highlight w:val="none"/>
                <w:u w:val="none"/>
              </w:rPr>
            </w:pPr>
          </w:p>
        </w:tc>
        <w:tc>
          <w:tcPr>
            <w:tcW w:w="1305"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A3013E">
            <w:pPr>
              <w:pageBreakBefore w:val="0"/>
              <w:kinsoku/>
              <w:wordWrap/>
              <w:overflowPunct/>
              <w:topLinePunct w:val="0"/>
              <w:autoSpaceDE/>
              <w:autoSpaceDN/>
              <w:bidi w:val="0"/>
              <w:spacing w:line="400" w:lineRule="exact"/>
              <w:jc w:val="center"/>
              <w:rPr>
                <w:rFonts w:hint="eastAsia" w:ascii="仿宋" w:hAnsi="仿宋" w:eastAsia="仿宋" w:cs="仿宋"/>
                <w:i w:val="0"/>
                <w:iCs w:val="0"/>
                <w:color w:val="000000"/>
                <w:sz w:val="24"/>
                <w:szCs w:val="24"/>
                <w:highlight w:val="none"/>
                <w:u w:val="none"/>
              </w:rPr>
            </w:pPr>
          </w:p>
        </w:tc>
        <w:tc>
          <w:tcPr>
            <w:tcW w:w="1560" w:type="dxa"/>
            <w:tcBorders>
              <w:top w:val="single" w:color="000000" w:sz="4" w:space="0"/>
              <w:left w:val="single" w:color="000000" w:sz="4" w:space="0"/>
              <w:bottom w:val="single" w:color="000000" w:sz="4" w:space="0"/>
              <w:right w:val="single" w:color="000000" w:sz="4" w:space="0"/>
            </w:tcBorders>
            <w:noWrap w:val="0"/>
            <w:vAlign w:val="center"/>
          </w:tcPr>
          <w:p w14:paraId="693F9834">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电梯责任险</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（1台）</w:t>
            </w:r>
          </w:p>
        </w:tc>
        <w:tc>
          <w:tcPr>
            <w:tcW w:w="4577" w:type="dxa"/>
            <w:tcBorders>
              <w:top w:val="single" w:color="000000" w:sz="4" w:space="0"/>
              <w:left w:val="single" w:color="000000" w:sz="4" w:space="0"/>
              <w:bottom w:val="single" w:color="000000" w:sz="4" w:space="0"/>
              <w:right w:val="single" w:color="000000" w:sz="4" w:space="0"/>
            </w:tcBorders>
            <w:noWrap w:val="0"/>
            <w:vAlign w:val="center"/>
          </w:tcPr>
          <w:p w14:paraId="1B684E07">
            <w:pPr>
              <w:keepNext w:val="0"/>
              <w:keepLines w:val="0"/>
              <w:pageBreakBefore w:val="0"/>
              <w:widowControl/>
              <w:suppressLineNumbers w:val="0"/>
              <w:kinsoku/>
              <w:wordWrap/>
              <w:overflowPunct/>
              <w:topLinePunct w:val="0"/>
              <w:autoSpaceDE/>
              <w:autoSpaceDN/>
              <w:bidi w:val="0"/>
              <w:spacing w:line="400" w:lineRule="exact"/>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全年500万元，每次500万元；每次事故人身伤亡赔偿限额:480万，每次每人人身伤亡赔偿限额:50万元(其中含医疗5万元)，每次事故财产损失赔偿限额20万元，每次事故每人财产损失赔偿限额:1万元</w:t>
            </w:r>
          </w:p>
        </w:tc>
        <w:tc>
          <w:tcPr>
            <w:tcW w:w="130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B0D46F">
            <w:pPr>
              <w:pageBreakBefore w:val="0"/>
              <w:kinsoku/>
              <w:wordWrap/>
              <w:overflowPunct/>
              <w:topLinePunct w:val="0"/>
              <w:autoSpaceDE/>
              <w:autoSpaceDN/>
              <w:bidi w:val="0"/>
              <w:spacing w:line="400" w:lineRule="exact"/>
              <w:jc w:val="center"/>
              <w:rPr>
                <w:rFonts w:hint="eastAsia" w:ascii="仿宋" w:hAnsi="仿宋" w:eastAsia="仿宋" w:cs="仿宋"/>
                <w:i w:val="0"/>
                <w:iCs w:val="0"/>
                <w:color w:val="000000"/>
                <w:sz w:val="24"/>
                <w:szCs w:val="24"/>
                <w:highlight w:val="none"/>
                <w:u w:val="none"/>
              </w:rPr>
            </w:pPr>
          </w:p>
        </w:tc>
      </w:tr>
      <w:tr w14:paraId="21AA87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26" w:hRule="atLeast"/>
          <w:jc w:val="center"/>
        </w:trPr>
        <w:tc>
          <w:tcPr>
            <w:tcW w:w="654" w:type="dxa"/>
            <w:vMerge w:val="restart"/>
            <w:tcBorders>
              <w:top w:val="single" w:color="000000" w:sz="4" w:space="0"/>
              <w:left w:val="single" w:color="000000" w:sz="4" w:space="0"/>
              <w:bottom w:val="single" w:color="000000" w:sz="4" w:space="0"/>
              <w:right w:val="single" w:color="000000" w:sz="4" w:space="0"/>
            </w:tcBorders>
            <w:noWrap w:val="0"/>
            <w:vAlign w:val="center"/>
          </w:tcPr>
          <w:p w14:paraId="7A7A798B">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8</w:t>
            </w:r>
          </w:p>
        </w:tc>
        <w:tc>
          <w:tcPr>
            <w:tcW w:w="1305" w:type="dxa"/>
            <w:vMerge w:val="restart"/>
            <w:tcBorders>
              <w:top w:val="single" w:color="000000" w:sz="4" w:space="0"/>
              <w:left w:val="single" w:color="000000" w:sz="4" w:space="0"/>
              <w:bottom w:val="single" w:color="000000" w:sz="4" w:space="0"/>
              <w:right w:val="single" w:color="000000" w:sz="4" w:space="0"/>
            </w:tcBorders>
            <w:noWrap w:val="0"/>
            <w:vAlign w:val="center"/>
          </w:tcPr>
          <w:p w14:paraId="1DD7E9EA">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default" w:ascii="仿宋" w:hAnsi="仿宋" w:eastAsia="仿宋" w:cs="仿宋"/>
                <w:i w:val="0"/>
                <w:iCs w:val="0"/>
                <w:color w:val="000000"/>
                <w:sz w:val="24"/>
                <w:szCs w:val="24"/>
                <w:highlight w:val="none"/>
                <w:u w:val="none"/>
                <w:lang w:val="en-US"/>
              </w:rPr>
            </w:pPr>
            <w:r>
              <w:rPr>
                <w:rFonts w:hint="eastAsia" w:ascii="仿宋" w:hAnsi="仿宋" w:eastAsia="仿宋" w:cs="仿宋"/>
                <w:i w:val="0"/>
                <w:iCs w:val="0"/>
                <w:color w:val="000000"/>
                <w:kern w:val="0"/>
                <w:sz w:val="24"/>
                <w:szCs w:val="24"/>
                <w:highlight w:val="none"/>
                <w:u w:val="none"/>
                <w:lang w:val="en-US" w:eastAsia="zh-CN" w:bidi="ar"/>
              </w:rPr>
              <w:t>项目八</w:t>
            </w:r>
          </w:p>
        </w:tc>
        <w:tc>
          <w:tcPr>
            <w:tcW w:w="1560" w:type="dxa"/>
            <w:tcBorders>
              <w:top w:val="single" w:color="000000" w:sz="4" w:space="0"/>
              <w:left w:val="single" w:color="000000" w:sz="4" w:space="0"/>
              <w:bottom w:val="single" w:color="000000" w:sz="4" w:space="0"/>
              <w:right w:val="single" w:color="000000" w:sz="4" w:space="0"/>
            </w:tcBorders>
            <w:noWrap w:val="0"/>
            <w:vAlign w:val="center"/>
          </w:tcPr>
          <w:p w14:paraId="3F83EDE7">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公众责任险</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（附加火灾、火灾爆炸）</w:t>
            </w:r>
          </w:p>
        </w:tc>
        <w:tc>
          <w:tcPr>
            <w:tcW w:w="4577" w:type="dxa"/>
            <w:tcBorders>
              <w:top w:val="single" w:color="000000" w:sz="4" w:space="0"/>
              <w:left w:val="single" w:color="000000" w:sz="4" w:space="0"/>
              <w:bottom w:val="single" w:color="000000" w:sz="4" w:space="0"/>
              <w:right w:val="single" w:color="000000" w:sz="4" w:space="0"/>
            </w:tcBorders>
            <w:noWrap w:val="0"/>
            <w:vAlign w:val="center"/>
          </w:tcPr>
          <w:p w14:paraId="7C3A4412">
            <w:pPr>
              <w:keepNext w:val="0"/>
              <w:keepLines w:val="0"/>
              <w:pageBreakBefore w:val="0"/>
              <w:widowControl/>
              <w:suppressLineNumbers w:val="0"/>
              <w:kinsoku/>
              <w:wordWrap/>
              <w:overflowPunct/>
              <w:topLinePunct w:val="0"/>
              <w:autoSpaceDE/>
              <w:autoSpaceDN/>
              <w:bidi w:val="0"/>
              <w:spacing w:line="400" w:lineRule="exact"/>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全年限额500万，每次事故限额500万；</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每次事故财产损失100万，每次人身伤亡400万，每次每人50万(其中医疗5万元)，财产损失1万</w:t>
            </w:r>
          </w:p>
        </w:tc>
        <w:tc>
          <w:tcPr>
            <w:tcW w:w="1301" w:type="dxa"/>
            <w:vMerge w:val="restart"/>
            <w:tcBorders>
              <w:top w:val="single" w:color="000000" w:sz="4" w:space="0"/>
              <w:left w:val="single" w:color="000000" w:sz="4" w:space="0"/>
              <w:bottom w:val="single" w:color="000000" w:sz="4" w:space="0"/>
              <w:right w:val="single" w:color="000000" w:sz="4" w:space="0"/>
            </w:tcBorders>
            <w:noWrap w:val="0"/>
            <w:vAlign w:val="center"/>
          </w:tcPr>
          <w:p w14:paraId="4B71EC22">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8415</w:t>
            </w:r>
          </w:p>
        </w:tc>
      </w:tr>
      <w:tr w14:paraId="5AFAB2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29" w:hRule="atLeast"/>
          <w:jc w:val="center"/>
        </w:trPr>
        <w:tc>
          <w:tcPr>
            <w:tcW w:w="654"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8FFE99">
            <w:pPr>
              <w:pageBreakBefore w:val="0"/>
              <w:kinsoku/>
              <w:wordWrap/>
              <w:overflowPunct/>
              <w:topLinePunct w:val="0"/>
              <w:autoSpaceDE/>
              <w:autoSpaceDN/>
              <w:bidi w:val="0"/>
              <w:spacing w:line="400" w:lineRule="exact"/>
              <w:jc w:val="center"/>
              <w:rPr>
                <w:rFonts w:hint="eastAsia" w:ascii="仿宋" w:hAnsi="仿宋" w:eastAsia="仿宋" w:cs="仿宋"/>
                <w:i w:val="0"/>
                <w:iCs w:val="0"/>
                <w:color w:val="000000"/>
                <w:sz w:val="24"/>
                <w:szCs w:val="24"/>
                <w:highlight w:val="none"/>
                <w:u w:val="none"/>
              </w:rPr>
            </w:pPr>
          </w:p>
        </w:tc>
        <w:tc>
          <w:tcPr>
            <w:tcW w:w="1305"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BF935E">
            <w:pPr>
              <w:pageBreakBefore w:val="0"/>
              <w:kinsoku/>
              <w:wordWrap/>
              <w:overflowPunct/>
              <w:topLinePunct w:val="0"/>
              <w:autoSpaceDE/>
              <w:autoSpaceDN/>
              <w:bidi w:val="0"/>
              <w:spacing w:line="400" w:lineRule="exact"/>
              <w:jc w:val="center"/>
              <w:rPr>
                <w:rFonts w:hint="eastAsia" w:ascii="仿宋" w:hAnsi="仿宋" w:eastAsia="仿宋" w:cs="仿宋"/>
                <w:i w:val="0"/>
                <w:iCs w:val="0"/>
                <w:color w:val="000000"/>
                <w:sz w:val="24"/>
                <w:szCs w:val="24"/>
                <w:highlight w:val="none"/>
                <w:u w:val="none"/>
              </w:rPr>
            </w:pPr>
          </w:p>
        </w:tc>
        <w:tc>
          <w:tcPr>
            <w:tcW w:w="1560" w:type="dxa"/>
            <w:tcBorders>
              <w:top w:val="single" w:color="000000" w:sz="4" w:space="0"/>
              <w:left w:val="single" w:color="000000" w:sz="4" w:space="0"/>
              <w:bottom w:val="single" w:color="000000" w:sz="4" w:space="0"/>
              <w:right w:val="single" w:color="000000" w:sz="4" w:space="0"/>
            </w:tcBorders>
            <w:noWrap w:val="0"/>
            <w:vAlign w:val="center"/>
          </w:tcPr>
          <w:p w14:paraId="0EDE5394">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电梯责任险</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（1台）</w:t>
            </w:r>
          </w:p>
        </w:tc>
        <w:tc>
          <w:tcPr>
            <w:tcW w:w="4577" w:type="dxa"/>
            <w:tcBorders>
              <w:top w:val="single" w:color="000000" w:sz="4" w:space="0"/>
              <w:left w:val="single" w:color="000000" w:sz="4" w:space="0"/>
              <w:bottom w:val="single" w:color="000000" w:sz="4" w:space="0"/>
              <w:right w:val="single" w:color="000000" w:sz="4" w:space="0"/>
            </w:tcBorders>
            <w:noWrap w:val="0"/>
            <w:vAlign w:val="center"/>
          </w:tcPr>
          <w:p w14:paraId="3E02245A">
            <w:pPr>
              <w:keepNext w:val="0"/>
              <w:keepLines w:val="0"/>
              <w:pageBreakBefore w:val="0"/>
              <w:widowControl/>
              <w:suppressLineNumbers w:val="0"/>
              <w:kinsoku/>
              <w:wordWrap/>
              <w:overflowPunct/>
              <w:topLinePunct w:val="0"/>
              <w:autoSpaceDE/>
              <w:autoSpaceDN/>
              <w:bidi w:val="0"/>
              <w:spacing w:line="400" w:lineRule="exact"/>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全年500万元，每次500万元；每次事故人身伤亡赔偿限额:480万，每次每人人身伤亡赔偿限额:50万元(其中含医疗5万元)，每次事故财产损失赔偿限额20万元，每次事故每人财产损失赔偿限额:1万元</w:t>
            </w:r>
          </w:p>
        </w:tc>
        <w:tc>
          <w:tcPr>
            <w:tcW w:w="130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2A769B">
            <w:pPr>
              <w:pageBreakBefore w:val="0"/>
              <w:kinsoku/>
              <w:wordWrap/>
              <w:overflowPunct/>
              <w:topLinePunct w:val="0"/>
              <w:autoSpaceDE/>
              <w:autoSpaceDN/>
              <w:bidi w:val="0"/>
              <w:spacing w:line="400" w:lineRule="exact"/>
              <w:jc w:val="center"/>
              <w:rPr>
                <w:rFonts w:hint="eastAsia" w:ascii="仿宋" w:hAnsi="仿宋" w:eastAsia="仿宋" w:cs="仿宋"/>
                <w:i w:val="0"/>
                <w:iCs w:val="0"/>
                <w:color w:val="000000"/>
                <w:sz w:val="24"/>
                <w:szCs w:val="24"/>
                <w:highlight w:val="none"/>
                <w:u w:val="none"/>
              </w:rPr>
            </w:pPr>
          </w:p>
        </w:tc>
      </w:tr>
      <w:tr w14:paraId="0978A7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9" w:hRule="atLeast"/>
          <w:jc w:val="center"/>
        </w:trPr>
        <w:tc>
          <w:tcPr>
            <w:tcW w:w="654" w:type="dxa"/>
            <w:vMerge w:val="restart"/>
            <w:tcBorders>
              <w:top w:val="single" w:color="000000" w:sz="4" w:space="0"/>
              <w:left w:val="single" w:color="000000" w:sz="4" w:space="0"/>
              <w:bottom w:val="single" w:color="000000" w:sz="4" w:space="0"/>
              <w:right w:val="single" w:color="000000" w:sz="4" w:space="0"/>
            </w:tcBorders>
            <w:noWrap w:val="0"/>
            <w:vAlign w:val="center"/>
          </w:tcPr>
          <w:p w14:paraId="1FBFD8E4">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9</w:t>
            </w:r>
          </w:p>
        </w:tc>
        <w:tc>
          <w:tcPr>
            <w:tcW w:w="1305" w:type="dxa"/>
            <w:vMerge w:val="restart"/>
            <w:tcBorders>
              <w:top w:val="single" w:color="000000" w:sz="4" w:space="0"/>
              <w:left w:val="single" w:color="000000" w:sz="4" w:space="0"/>
              <w:bottom w:val="single" w:color="000000" w:sz="4" w:space="0"/>
              <w:right w:val="single" w:color="000000" w:sz="4" w:space="0"/>
            </w:tcBorders>
            <w:noWrap w:val="0"/>
            <w:vAlign w:val="center"/>
          </w:tcPr>
          <w:p w14:paraId="578B6E5F">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default" w:ascii="仿宋" w:hAnsi="仿宋" w:eastAsia="仿宋" w:cs="仿宋"/>
                <w:i w:val="0"/>
                <w:iCs w:val="0"/>
                <w:color w:val="000000"/>
                <w:sz w:val="24"/>
                <w:szCs w:val="24"/>
                <w:highlight w:val="none"/>
                <w:u w:val="none"/>
                <w:lang w:val="en-US"/>
              </w:rPr>
            </w:pPr>
            <w:r>
              <w:rPr>
                <w:rFonts w:hint="eastAsia" w:ascii="仿宋" w:hAnsi="仿宋" w:eastAsia="仿宋" w:cs="仿宋"/>
                <w:i w:val="0"/>
                <w:iCs w:val="0"/>
                <w:color w:val="000000"/>
                <w:kern w:val="0"/>
                <w:sz w:val="24"/>
                <w:szCs w:val="24"/>
                <w:highlight w:val="none"/>
                <w:u w:val="none"/>
                <w:lang w:val="en-US" w:eastAsia="zh-CN" w:bidi="ar"/>
              </w:rPr>
              <w:t>项目九</w:t>
            </w:r>
          </w:p>
        </w:tc>
        <w:tc>
          <w:tcPr>
            <w:tcW w:w="1560" w:type="dxa"/>
            <w:tcBorders>
              <w:top w:val="single" w:color="000000" w:sz="4" w:space="0"/>
              <w:left w:val="single" w:color="000000" w:sz="4" w:space="0"/>
              <w:bottom w:val="single" w:color="000000" w:sz="4" w:space="0"/>
              <w:right w:val="single" w:color="000000" w:sz="4" w:space="0"/>
            </w:tcBorders>
            <w:noWrap w:val="0"/>
            <w:vAlign w:val="center"/>
          </w:tcPr>
          <w:p w14:paraId="74EC5E22">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公众责任险</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（附加火灾、火灾爆炸）</w:t>
            </w:r>
          </w:p>
        </w:tc>
        <w:tc>
          <w:tcPr>
            <w:tcW w:w="4577" w:type="dxa"/>
            <w:tcBorders>
              <w:top w:val="single" w:color="000000" w:sz="4" w:space="0"/>
              <w:left w:val="single" w:color="000000" w:sz="4" w:space="0"/>
              <w:bottom w:val="single" w:color="000000" w:sz="4" w:space="0"/>
              <w:right w:val="single" w:color="000000" w:sz="4" w:space="0"/>
            </w:tcBorders>
            <w:noWrap w:val="0"/>
            <w:vAlign w:val="center"/>
          </w:tcPr>
          <w:p w14:paraId="354C282B">
            <w:pPr>
              <w:keepNext w:val="0"/>
              <w:keepLines w:val="0"/>
              <w:pageBreakBefore w:val="0"/>
              <w:widowControl/>
              <w:suppressLineNumbers w:val="0"/>
              <w:kinsoku/>
              <w:wordWrap/>
              <w:overflowPunct/>
              <w:topLinePunct w:val="0"/>
              <w:autoSpaceDE/>
              <w:autoSpaceDN/>
              <w:bidi w:val="0"/>
              <w:spacing w:line="400" w:lineRule="exact"/>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全年限额500万，每次事故限额500万；</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每次事故财产损失100万，每次人身伤亡400万，每次每人50万(其中医疗5万元)，财产损失1万</w:t>
            </w:r>
          </w:p>
        </w:tc>
        <w:tc>
          <w:tcPr>
            <w:tcW w:w="1301" w:type="dxa"/>
            <w:vMerge w:val="restart"/>
            <w:tcBorders>
              <w:top w:val="single" w:color="000000" w:sz="4" w:space="0"/>
              <w:left w:val="single" w:color="000000" w:sz="4" w:space="0"/>
              <w:bottom w:val="single" w:color="000000" w:sz="4" w:space="0"/>
              <w:right w:val="single" w:color="000000" w:sz="4" w:space="0"/>
            </w:tcBorders>
            <w:noWrap w:val="0"/>
            <w:vAlign w:val="center"/>
          </w:tcPr>
          <w:p w14:paraId="78D3C41C">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default" w:ascii="仿宋" w:hAnsi="仿宋" w:eastAsia="仿宋" w:cs="仿宋"/>
                <w:i w:val="0"/>
                <w:iCs w:val="0"/>
                <w:color w:val="000000"/>
                <w:sz w:val="24"/>
                <w:szCs w:val="24"/>
                <w:highlight w:val="none"/>
                <w:u w:val="none"/>
                <w:lang w:val="en-US"/>
              </w:rPr>
            </w:pPr>
            <w:r>
              <w:rPr>
                <w:rFonts w:hint="eastAsia" w:ascii="仿宋" w:hAnsi="仿宋" w:eastAsia="仿宋" w:cs="仿宋"/>
                <w:i w:val="0"/>
                <w:iCs w:val="0"/>
                <w:color w:val="000000"/>
                <w:kern w:val="0"/>
                <w:sz w:val="24"/>
                <w:szCs w:val="24"/>
                <w:highlight w:val="none"/>
                <w:u w:val="none"/>
                <w:lang w:val="en-US" w:eastAsia="zh-CN" w:bidi="ar"/>
              </w:rPr>
              <w:t>31000</w:t>
            </w:r>
          </w:p>
        </w:tc>
      </w:tr>
      <w:tr w14:paraId="06A325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26" w:hRule="atLeast"/>
          <w:jc w:val="center"/>
        </w:trPr>
        <w:tc>
          <w:tcPr>
            <w:tcW w:w="654"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23A91D">
            <w:pPr>
              <w:pageBreakBefore w:val="0"/>
              <w:kinsoku/>
              <w:wordWrap/>
              <w:overflowPunct/>
              <w:topLinePunct w:val="0"/>
              <w:autoSpaceDE/>
              <w:autoSpaceDN/>
              <w:bidi w:val="0"/>
              <w:spacing w:line="400" w:lineRule="exact"/>
              <w:jc w:val="center"/>
              <w:rPr>
                <w:rFonts w:hint="eastAsia" w:ascii="仿宋" w:hAnsi="仿宋" w:eastAsia="仿宋" w:cs="仿宋"/>
                <w:i w:val="0"/>
                <w:iCs w:val="0"/>
                <w:color w:val="000000"/>
                <w:sz w:val="24"/>
                <w:szCs w:val="24"/>
                <w:highlight w:val="none"/>
                <w:u w:val="none"/>
              </w:rPr>
            </w:pPr>
          </w:p>
        </w:tc>
        <w:tc>
          <w:tcPr>
            <w:tcW w:w="1305"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ACBB80">
            <w:pPr>
              <w:pageBreakBefore w:val="0"/>
              <w:kinsoku/>
              <w:wordWrap/>
              <w:overflowPunct/>
              <w:topLinePunct w:val="0"/>
              <w:autoSpaceDE/>
              <w:autoSpaceDN/>
              <w:bidi w:val="0"/>
              <w:spacing w:line="400" w:lineRule="exact"/>
              <w:jc w:val="center"/>
              <w:rPr>
                <w:rFonts w:hint="eastAsia" w:ascii="仿宋" w:hAnsi="仿宋" w:eastAsia="仿宋" w:cs="仿宋"/>
                <w:i w:val="0"/>
                <w:iCs w:val="0"/>
                <w:color w:val="000000"/>
                <w:sz w:val="24"/>
                <w:szCs w:val="24"/>
                <w:highlight w:val="none"/>
                <w:u w:val="none"/>
              </w:rPr>
            </w:pPr>
          </w:p>
        </w:tc>
        <w:tc>
          <w:tcPr>
            <w:tcW w:w="1560" w:type="dxa"/>
            <w:tcBorders>
              <w:top w:val="single" w:color="000000" w:sz="4" w:space="0"/>
              <w:left w:val="single" w:color="000000" w:sz="4" w:space="0"/>
              <w:bottom w:val="single" w:color="000000" w:sz="4" w:space="0"/>
              <w:right w:val="single" w:color="000000" w:sz="4" w:space="0"/>
            </w:tcBorders>
            <w:noWrap w:val="0"/>
            <w:vAlign w:val="center"/>
          </w:tcPr>
          <w:p w14:paraId="7A54948D">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停车场责任险</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（794个）</w:t>
            </w:r>
          </w:p>
        </w:tc>
        <w:tc>
          <w:tcPr>
            <w:tcW w:w="4577" w:type="dxa"/>
            <w:tcBorders>
              <w:top w:val="single" w:color="000000" w:sz="4" w:space="0"/>
              <w:left w:val="single" w:color="000000" w:sz="4" w:space="0"/>
              <w:bottom w:val="single" w:color="000000" w:sz="4" w:space="0"/>
              <w:right w:val="single" w:color="000000" w:sz="4" w:space="0"/>
            </w:tcBorders>
            <w:noWrap w:val="0"/>
            <w:vAlign w:val="center"/>
          </w:tcPr>
          <w:p w14:paraId="4329E4B4">
            <w:pPr>
              <w:keepNext w:val="0"/>
              <w:keepLines w:val="0"/>
              <w:pageBreakBefore w:val="0"/>
              <w:widowControl/>
              <w:suppressLineNumbers w:val="0"/>
              <w:kinsoku/>
              <w:wordWrap/>
              <w:overflowPunct/>
              <w:topLinePunct w:val="0"/>
              <w:autoSpaceDE/>
              <w:autoSpaceDN/>
              <w:bidi w:val="0"/>
              <w:spacing w:line="400" w:lineRule="exact"/>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累计赔偿限额200万元，每次事故赔偿限额30万元;每次事故每车位赔偿限额:2万元;车辆划痕每次事故每车位赔偿限额0.2万元，划痕累计赔偿限2万元</w:t>
            </w:r>
          </w:p>
        </w:tc>
        <w:tc>
          <w:tcPr>
            <w:tcW w:w="130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2CA562">
            <w:pPr>
              <w:pageBreakBefore w:val="0"/>
              <w:kinsoku/>
              <w:wordWrap/>
              <w:overflowPunct/>
              <w:topLinePunct w:val="0"/>
              <w:autoSpaceDE/>
              <w:autoSpaceDN/>
              <w:bidi w:val="0"/>
              <w:spacing w:line="400" w:lineRule="exact"/>
              <w:jc w:val="center"/>
              <w:rPr>
                <w:rFonts w:hint="eastAsia" w:ascii="仿宋" w:hAnsi="仿宋" w:eastAsia="仿宋" w:cs="仿宋"/>
                <w:i w:val="0"/>
                <w:iCs w:val="0"/>
                <w:color w:val="000000"/>
                <w:sz w:val="24"/>
                <w:szCs w:val="24"/>
                <w:highlight w:val="none"/>
                <w:u w:val="none"/>
              </w:rPr>
            </w:pPr>
          </w:p>
        </w:tc>
      </w:tr>
      <w:tr w14:paraId="725BF1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29" w:hRule="atLeast"/>
          <w:jc w:val="center"/>
        </w:trPr>
        <w:tc>
          <w:tcPr>
            <w:tcW w:w="654"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D805E4">
            <w:pPr>
              <w:pageBreakBefore w:val="0"/>
              <w:kinsoku/>
              <w:wordWrap/>
              <w:overflowPunct/>
              <w:topLinePunct w:val="0"/>
              <w:autoSpaceDE/>
              <w:autoSpaceDN/>
              <w:bidi w:val="0"/>
              <w:spacing w:line="400" w:lineRule="exact"/>
              <w:jc w:val="center"/>
              <w:rPr>
                <w:rFonts w:hint="eastAsia" w:ascii="仿宋" w:hAnsi="仿宋" w:eastAsia="仿宋" w:cs="仿宋"/>
                <w:i w:val="0"/>
                <w:iCs w:val="0"/>
                <w:color w:val="000000"/>
                <w:sz w:val="24"/>
                <w:szCs w:val="24"/>
                <w:highlight w:val="none"/>
                <w:u w:val="none"/>
              </w:rPr>
            </w:pPr>
          </w:p>
        </w:tc>
        <w:tc>
          <w:tcPr>
            <w:tcW w:w="1305"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C04EE8">
            <w:pPr>
              <w:pageBreakBefore w:val="0"/>
              <w:kinsoku/>
              <w:wordWrap/>
              <w:overflowPunct/>
              <w:topLinePunct w:val="0"/>
              <w:autoSpaceDE/>
              <w:autoSpaceDN/>
              <w:bidi w:val="0"/>
              <w:spacing w:line="400" w:lineRule="exact"/>
              <w:jc w:val="center"/>
              <w:rPr>
                <w:rFonts w:hint="eastAsia" w:ascii="仿宋" w:hAnsi="仿宋" w:eastAsia="仿宋" w:cs="仿宋"/>
                <w:i w:val="0"/>
                <w:iCs w:val="0"/>
                <w:color w:val="000000"/>
                <w:sz w:val="24"/>
                <w:szCs w:val="24"/>
                <w:highlight w:val="none"/>
                <w:u w:val="none"/>
              </w:rPr>
            </w:pPr>
          </w:p>
        </w:tc>
        <w:tc>
          <w:tcPr>
            <w:tcW w:w="1560" w:type="dxa"/>
            <w:tcBorders>
              <w:top w:val="single" w:color="000000" w:sz="4" w:space="0"/>
              <w:left w:val="single" w:color="000000" w:sz="4" w:space="0"/>
              <w:bottom w:val="single" w:color="000000" w:sz="4" w:space="0"/>
              <w:right w:val="single" w:color="000000" w:sz="4" w:space="0"/>
            </w:tcBorders>
            <w:noWrap w:val="0"/>
            <w:vAlign w:val="center"/>
          </w:tcPr>
          <w:p w14:paraId="04822833">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电梯责任险</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（46台）</w:t>
            </w:r>
          </w:p>
        </w:tc>
        <w:tc>
          <w:tcPr>
            <w:tcW w:w="4577" w:type="dxa"/>
            <w:tcBorders>
              <w:top w:val="single" w:color="000000" w:sz="4" w:space="0"/>
              <w:left w:val="single" w:color="000000" w:sz="4" w:space="0"/>
              <w:bottom w:val="single" w:color="000000" w:sz="4" w:space="0"/>
              <w:right w:val="single" w:color="000000" w:sz="4" w:space="0"/>
            </w:tcBorders>
            <w:noWrap w:val="0"/>
            <w:vAlign w:val="center"/>
          </w:tcPr>
          <w:p w14:paraId="62AAD31E">
            <w:pPr>
              <w:keepNext w:val="0"/>
              <w:keepLines w:val="0"/>
              <w:pageBreakBefore w:val="0"/>
              <w:widowControl/>
              <w:suppressLineNumbers w:val="0"/>
              <w:kinsoku/>
              <w:wordWrap/>
              <w:overflowPunct/>
              <w:topLinePunct w:val="0"/>
              <w:autoSpaceDE/>
              <w:autoSpaceDN/>
              <w:bidi w:val="0"/>
              <w:spacing w:line="400" w:lineRule="exact"/>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全年500万元，每次500万元；每次事故人身伤亡赔偿限额:480万，每次每人人身伤亡赔偿限额:50万元(其中含医疗5万元)，每次事故财产损失赔偿限额20万元，每次事故每人财产损失赔偿限额:1万元</w:t>
            </w:r>
          </w:p>
        </w:tc>
        <w:tc>
          <w:tcPr>
            <w:tcW w:w="130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67D646">
            <w:pPr>
              <w:pageBreakBefore w:val="0"/>
              <w:kinsoku/>
              <w:wordWrap/>
              <w:overflowPunct/>
              <w:topLinePunct w:val="0"/>
              <w:autoSpaceDE/>
              <w:autoSpaceDN/>
              <w:bidi w:val="0"/>
              <w:spacing w:line="400" w:lineRule="exact"/>
              <w:jc w:val="center"/>
              <w:rPr>
                <w:rFonts w:hint="eastAsia" w:ascii="仿宋" w:hAnsi="仿宋" w:eastAsia="仿宋" w:cs="仿宋"/>
                <w:i w:val="0"/>
                <w:iCs w:val="0"/>
                <w:color w:val="000000"/>
                <w:sz w:val="24"/>
                <w:szCs w:val="24"/>
                <w:highlight w:val="none"/>
                <w:u w:val="none"/>
              </w:rPr>
            </w:pPr>
          </w:p>
        </w:tc>
      </w:tr>
      <w:tr w14:paraId="6F10B9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26" w:hRule="atLeast"/>
          <w:jc w:val="center"/>
        </w:trPr>
        <w:tc>
          <w:tcPr>
            <w:tcW w:w="654" w:type="dxa"/>
            <w:tcBorders>
              <w:top w:val="single" w:color="000000" w:sz="4" w:space="0"/>
              <w:left w:val="single" w:color="000000" w:sz="4" w:space="0"/>
              <w:bottom w:val="single" w:color="000000" w:sz="4" w:space="0"/>
              <w:right w:val="single" w:color="000000" w:sz="4" w:space="0"/>
            </w:tcBorders>
            <w:noWrap w:val="0"/>
            <w:vAlign w:val="center"/>
          </w:tcPr>
          <w:p w14:paraId="103EAAF6">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10</w:t>
            </w:r>
          </w:p>
        </w:tc>
        <w:tc>
          <w:tcPr>
            <w:tcW w:w="1305" w:type="dxa"/>
            <w:tcBorders>
              <w:top w:val="single" w:color="000000" w:sz="4" w:space="0"/>
              <w:left w:val="single" w:color="000000" w:sz="4" w:space="0"/>
              <w:bottom w:val="single" w:color="000000" w:sz="4" w:space="0"/>
              <w:right w:val="single" w:color="000000" w:sz="4" w:space="0"/>
            </w:tcBorders>
            <w:noWrap w:val="0"/>
            <w:vAlign w:val="center"/>
          </w:tcPr>
          <w:p w14:paraId="3064A995">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default" w:ascii="仿宋" w:hAnsi="仿宋" w:eastAsia="仿宋" w:cs="仿宋"/>
                <w:i w:val="0"/>
                <w:iCs w:val="0"/>
                <w:color w:val="000000"/>
                <w:sz w:val="24"/>
                <w:szCs w:val="24"/>
                <w:highlight w:val="none"/>
                <w:u w:val="none"/>
                <w:lang w:val="en-US"/>
              </w:rPr>
            </w:pPr>
            <w:r>
              <w:rPr>
                <w:rFonts w:hint="eastAsia" w:ascii="仿宋" w:hAnsi="仿宋" w:eastAsia="仿宋" w:cs="仿宋"/>
                <w:i w:val="0"/>
                <w:iCs w:val="0"/>
                <w:color w:val="000000"/>
                <w:kern w:val="0"/>
                <w:sz w:val="24"/>
                <w:szCs w:val="24"/>
                <w:highlight w:val="none"/>
                <w:u w:val="none"/>
                <w:lang w:val="en-US" w:eastAsia="zh-CN" w:bidi="ar"/>
              </w:rPr>
              <w:t>项目十</w:t>
            </w:r>
          </w:p>
        </w:tc>
        <w:tc>
          <w:tcPr>
            <w:tcW w:w="1560" w:type="dxa"/>
            <w:tcBorders>
              <w:top w:val="single" w:color="000000" w:sz="4" w:space="0"/>
              <w:left w:val="single" w:color="000000" w:sz="4" w:space="0"/>
              <w:bottom w:val="single" w:color="000000" w:sz="4" w:space="0"/>
              <w:right w:val="single" w:color="000000" w:sz="4" w:space="0"/>
            </w:tcBorders>
            <w:noWrap w:val="0"/>
            <w:vAlign w:val="center"/>
          </w:tcPr>
          <w:p w14:paraId="75E3186E">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公众责任险</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（附加火灾、火灾爆炸险）</w:t>
            </w:r>
          </w:p>
        </w:tc>
        <w:tc>
          <w:tcPr>
            <w:tcW w:w="4577" w:type="dxa"/>
            <w:tcBorders>
              <w:top w:val="single" w:color="000000" w:sz="4" w:space="0"/>
              <w:left w:val="single" w:color="000000" w:sz="4" w:space="0"/>
              <w:bottom w:val="single" w:color="000000" w:sz="4" w:space="0"/>
              <w:right w:val="single" w:color="000000" w:sz="4" w:space="0"/>
            </w:tcBorders>
            <w:noWrap w:val="0"/>
            <w:vAlign w:val="center"/>
          </w:tcPr>
          <w:p w14:paraId="68FC107D">
            <w:pPr>
              <w:keepNext w:val="0"/>
              <w:keepLines w:val="0"/>
              <w:pageBreakBefore w:val="0"/>
              <w:widowControl/>
              <w:suppressLineNumbers w:val="0"/>
              <w:kinsoku/>
              <w:wordWrap/>
              <w:overflowPunct/>
              <w:topLinePunct w:val="0"/>
              <w:autoSpaceDE/>
              <w:autoSpaceDN/>
              <w:bidi w:val="0"/>
              <w:spacing w:line="400" w:lineRule="exact"/>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全年限额200万，每次事故限额100万；</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每次事故财产损失10万，每次人身伤亡80万，每次每人20万(其中医疗2万元)，财产损失1万</w:t>
            </w:r>
          </w:p>
        </w:tc>
        <w:tc>
          <w:tcPr>
            <w:tcW w:w="1301" w:type="dxa"/>
            <w:tcBorders>
              <w:top w:val="single" w:color="000000" w:sz="4" w:space="0"/>
              <w:left w:val="single" w:color="000000" w:sz="4" w:space="0"/>
              <w:bottom w:val="single" w:color="000000" w:sz="4" w:space="0"/>
              <w:right w:val="single" w:color="000000" w:sz="4" w:space="0"/>
            </w:tcBorders>
            <w:noWrap w:val="0"/>
            <w:vAlign w:val="center"/>
          </w:tcPr>
          <w:p w14:paraId="40193264">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19250</w:t>
            </w:r>
          </w:p>
        </w:tc>
      </w:tr>
      <w:tr w14:paraId="6EC2F2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9" w:hRule="atLeast"/>
          <w:jc w:val="center"/>
        </w:trPr>
        <w:tc>
          <w:tcPr>
            <w:tcW w:w="654" w:type="dxa"/>
            <w:tcBorders>
              <w:top w:val="single" w:color="000000" w:sz="4" w:space="0"/>
              <w:left w:val="single" w:color="000000" w:sz="4" w:space="0"/>
              <w:bottom w:val="single" w:color="000000" w:sz="4" w:space="0"/>
              <w:right w:val="single" w:color="000000" w:sz="4" w:space="0"/>
            </w:tcBorders>
            <w:noWrap w:val="0"/>
            <w:vAlign w:val="center"/>
          </w:tcPr>
          <w:p w14:paraId="40F1DC3C">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default"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11</w:t>
            </w:r>
          </w:p>
        </w:tc>
        <w:tc>
          <w:tcPr>
            <w:tcW w:w="1305" w:type="dxa"/>
            <w:tcBorders>
              <w:top w:val="single" w:color="000000" w:sz="4" w:space="0"/>
              <w:left w:val="single" w:color="000000" w:sz="4" w:space="0"/>
              <w:bottom w:val="single" w:color="000000" w:sz="4" w:space="0"/>
              <w:right w:val="single" w:color="000000" w:sz="4" w:space="0"/>
            </w:tcBorders>
            <w:noWrap w:val="0"/>
            <w:vAlign w:val="center"/>
          </w:tcPr>
          <w:p w14:paraId="52BAEDE6">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default"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项目十一</w:t>
            </w:r>
          </w:p>
        </w:tc>
        <w:tc>
          <w:tcPr>
            <w:tcW w:w="156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DED45A">
            <w:pPr>
              <w:keepNext w:val="0"/>
              <w:keepLines w:val="0"/>
              <w:pageBreakBefore w:val="0"/>
              <w:widowControl/>
              <w:suppressLineNumbers w:val="0"/>
              <w:kinsoku/>
              <w:wordWrap/>
              <w:overflowPunct/>
              <w:topLinePunct w:val="0"/>
              <w:autoSpaceDE/>
              <w:autoSpaceDN/>
              <w:bidi w:val="0"/>
              <w:spacing w:before="0" w:beforeAutospacing="0" w:after="0" w:afterAutospacing="0" w:line="400" w:lineRule="exact"/>
              <w:ind w:left="0" w:leftChars="0" w:right="0" w:rightChars="0"/>
              <w:jc w:val="center"/>
              <w:textAlignment w:val="center"/>
              <w:rPr>
                <w:rFonts w:hint="eastAsia" w:ascii="仿宋" w:hAnsi="仿宋" w:eastAsia="仿宋" w:cs="仿宋"/>
                <w:i w:val="0"/>
                <w:iCs w:val="0"/>
                <w:color w:val="000000"/>
                <w:kern w:val="2"/>
                <w:sz w:val="24"/>
                <w:szCs w:val="24"/>
                <w:highlight w:val="none"/>
                <w:u w:val="none"/>
                <w:lang w:val="en-US" w:eastAsia="zh-CN" w:bidi="ar-SA"/>
              </w:rPr>
            </w:pPr>
            <w:r>
              <w:rPr>
                <w:rFonts w:hint="eastAsia" w:ascii="仿宋" w:hAnsi="仿宋" w:eastAsia="仿宋" w:cs="仿宋"/>
                <w:i w:val="0"/>
                <w:iCs w:val="0"/>
                <w:color w:val="000000"/>
                <w:kern w:val="0"/>
                <w:sz w:val="24"/>
                <w:szCs w:val="24"/>
                <w:highlight w:val="none"/>
                <w:u w:val="none"/>
                <w:lang w:val="en-US" w:eastAsia="zh-CN" w:bidi="ar"/>
              </w:rPr>
              <w:t>公众责任险</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（附加火灾、火灾爆炸险）</w:t>
            </w:r>
          </w:p>
        </w:tc>
        <w:tc>
          <w:tcPr>
            <w:tcW w:w="457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A0ED8C">
            <w:pPr>
              <w:keepNext w:val="0"/>
              <w:keepLines w:val="0"/>
              <w:pageBreakBefore w:val="0"/>
              <w:widowControl/>
              <w:suppressLineNumbers w:val="0"/>
              <w:kinsoku/>
              <w:wordWrap/>
              <w:overflowPunct/>
              <w:topLinePunct w:val="0"/>
              <w:autoSpaceDE/>
              <w:autoSpaceDN/>
              <w:bidi w:val="0"/>
              <w:spacing w:before="0" w:beforeAutospacing="0" w:after="0" w:afterAutospacing="0" w:line="400" w:lineRule="exact"/>
              <w:ind w:left="0" w:leftChars="0" w:right="0" w:rightChars="0"/>
              <w:jc w:val="left"/>
              <w:textAlignment w:val="center"/>
              <w:rPr>
                <w:rFonts w:hint="eastAsia" w:ascii="仿宋" w:hAnsi="仿宋" w:eastAsia="仿宋" w:cs="仿宋"/>
                <w:i w:val="0"/>
                <w:iCs w:val="0"/>
                <w:color w:val="000000"/>
                <w:kern w:val="2"/>
                <w:sz w:val="24"/>
                <w:szCs w:val="24"/>
                <w:highlight w:val="none"/>
                <w:u w:val="none"/>
                <w:lang w:val="en-US" w:eastAsia="zh-CN" w:bidi="ar-SA"/>
              </w:rPr>
            </w:pPr>
            <w:r>
              <w:rPr>
                <w:rFonts w:hint="eastAsia" w:ascii="仿宋" w:hAnsi="仿宋" w:eastAsia="仿宋" w:cs="仿宋"/>
                <w:i w:val="0"/>
                <w:iCs w:val="0"/>
                <w:color w:val="000000"/>
                <w:kern w:val="0"/>
                <w:sz w:val="24"/>
                <w:szCs w:val="24"/>
                <w:highlight w:val="none"/>
                <w:u w:val="none"/>
                <w:lang w:val="en-US" w:eastAsia="zh-CN" w:bidi="ar"/>
              </w:rPr>
              <w:t>全年限额100万元，每次事故限额100万</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每次事故人身伤亡赔偿限额90万元,每次事故每人人身伤亡赔偿限额10万元（其中含医疗费用赔偿限额2万元）</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每次事故财产损失限额10万元,每次事故每人财产损失赔偿限额1万元。</w:t>
            </w: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F5779C">
            <w:pPr>
              <w:keepNext w:val="0"/>
              <w:keepLines w:val="0"/>
              <w:pageBreakBefore w:val="0"/>
              <w:widowControl/>
              <w:suppressLineNumbers w:val="0"/>
              <w:kinsoku/>
              <w:wordWrap/>
              <w:overflowPunct/>
              <w:topLinePunct w:val="0"/>
              <w:autoSpaceDE/>
              <w:autoSpaceDN/>
              <w:bidi w:val="0"/>
              <w:spacing w:before="0" w:beforeAutospacing="0" w:after="0" w:afterAutospacing="0" w:line="400" w:lineRule="exact"/>
              <w:ind w:left="0" w:leftChars="0" w:right="0" w:rightChars="0"/>
              <w:jc w:val="center"/>
              <w:textAlignment w:val="center"/>
              <w:rPr>
                <w:rFonts w:hint="eastAsia" w:ascii="仿宋" w:hAnsi="仿宋" w:eastAsia="仿宋" w:cs="仿宋"/>
                <w:i w:val="0"/>
                <w:iCs w:val="0"/>
                <w:color w:val="000000"/>
                <w:kern w:val="2"/>
                <w:sz w:val="24"/>
                <w:szCs w:val="24"/>
                <w:highlight w:val="none"/>
                <w:u w:val="none"/>
                <w:lang w:val="en-US" w:eastAsia="zh-CN" w:bidi="ar-SA"/>
              </w:rPr>
            </w:pPr>
            <w:r>
              <w:rPr>
                <w:rFonts w:hint="eastAsia" w:ascii="仿宋" w:hAnsi="仿宋" w:eastAsia="仿宋" w:cs="仿宋"/>
                <w:i w:val="0"/>
                <w:iCs w:val="0"/>
                <w:color w:val="000000"/>
                <w:sz w:val="24"/>
                <w:szCs w:val="24"/>
                <w:highlight w:val="none"/>
                <w:u w:val="none"/>
                <w:lang w:val="en-US" w:eastAsia="zh-CN"/>
              </w:rPr>
              <w:t>3000</w:t>
            </w:r>
          </w:p>
        </w:tc>
      </w:tr>
      <w:tr w14:paraId="2B4235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9" w:hRule="atLeast"/>
          <w:jc w:val="center"/>
        </w:trPr>
        <w:tc>
          <w:tcPr>
            <w:tcW w:w="654" w:type="dxa"/>
            <w:tcBorders>
              <w:top w:val="single" w:color="000000" w:sz="4" w:space="0"/>
              <w:left w:val="single" w:color="000000" w:sz="4" w:space="0"/>
              <w:bottom w:val="single" w:color="000000" w:sz="4" w:space="0"/>
              <w:right w:val="single" w:color="000000" w:sz="4" w:space="0"/>
            </w:tcBorders>
            <w:noWrap w:val="0"/>
            <w:vAlign w:val="center"/>
          </w:tcPr>
          <w:p w14:paraId="04519AF6">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default"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12</w:t>
            </w:r>
          </w:p>
        </w:tc>
        <w:tc>
          <w:tcPr>
            <w:tcW w:w="1305" w:type="dxa"/>
            <w:tcBorders>
              <w:top w:val="single" w:color="000000" w:sz="4" w:space="0"/>
              <w:left w:val="single" w:color="000000" w:sz="4" w:space="0"/>
              <w:bottom w:val="single" w:color="000000" w:sz="4" w:space="0"/>
              <w:right w:val="single" w:color="000000" w:sz="4" w:space="0"/>
            </w:tcBorders>
            <w:noWrap w:val="0"/>
            <w:vAlign w:val="center"/>
          </w:tcPr>
          <w:p w14:paraId="0FBF9D55">
            <w:pPr>
              <w:keepNext w:val="0"/>
              <w:keepLines w:val="0"/>
              <w:pageBreakBefore w:val="0"/>
              <w:widowControl/>
              <w:suppressLineNumbers w:val="0"/>
              <w:kinsoku/>
              <w:wordWrap/>
              <w:overflowPunct/>
              <w:topLinePunct w:val="0"/>
              <w:autoSpaceDE/>
              <w:autoSpaceDN/>
              <w:bidi w:val="0"/>
              <w:spacing w:before="0" w:beforeAutospacing="0" w:after="0" w:afterAutospacing="0" w:line="400" w:lineRule="exact"/>
              <w:ind w:left="0" w:leftChars="0" w:right="0" w:rightChars="0"/>
              <w:jc w:val="center"/>
              <w:textAlignment w:val="center"/>
              <w:rPr>
                <w:rFonts w:hint="default"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项目十二</w:t>
            </w:r>
          </w:p>
        </w:tc>
        <w:tc>
          <w:tcPr>
            <w:tcW w:w="1560" w:type="dxa"/>
            <w:tcBorders>
              <w:top w:val="single" w:color="000000" w:sz="4" w:space="0"/>
              <w:left w:val="single" w:color="000000" w:sz="4" w:space="0"/>
              <w:bottom w:val="single" w:color="000000" w:sz="4" w:space="0"/>
              <w:right w:val="single" w:color="000000" w:sz="4" w:space="0"/>
            </w:tcBorders>
            <w:noWrap w:val="0"/>
            <w:vAlign w:val="center"/>
          </w:tcPr>
          <w:p w14:paraId="7E019976">
            <w:pPr>
              <w:keepNext w:val="0"/>
              <w:keepLines w:val="0"/>
              <w:pageBreakBefore w:val="0"/>
              <w:widowControl/>
              <w:suppressLineNumbers w:val="0"/>
              <w:kinsoku/>
              <w:wordWrap/>
              <w:overflowPunct/>
              <w:topLinePunct w:val="0"/>
              <w:autoSpaceDE/>
              <w:autoSpaceDN/>
              <w:bidi w:val="0"/>
              <w:spacing w:before="0" w:beforeAutospacing="0" w:after="0" w:afterAutospacing="0" w:line="400" w:lineRule="exact"/>
              <w:ind w:left="0" w:leftChars="0" w:right="0" w:rightChars="0"/>
              <w:jc w:val="center"/>
              <w:textAlignment w:val="center"/>
              <w:rPr>
                <w:rFonts w:hint="default"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公众责任险附加停车场责任(车位数量5770个）</w:t>
            </w:r>
          </w:p>
        </w:tc>
        <w:tc>
          <w:tcPr>
            <w:tcW w:w="4577" w:type="dxa"/>
            <w:tcBorders>
              <w:top w:val="single" w:color="000000" w:sz="4" w:space="0"/>
              <w:left w:val="single" w:color="000000" w:sz="4" w:space="0"/>
              <w:bottom w:val="single" w:color="000000" w:sz="4" w:space="0"/>
              <w:right w:val="single" w:color="000000" w:sz="4" w:space="0"/>
            </w:tcBorders>
            <w:noWrap w:val="0"/>
            <w:vAlign w:val="center"/>
          </w:tcPr>
          <w:p w14:paraId="1C6721B1">
            <w:pPr>
              <w:keepNext w:val="0"/>
              <w:keepLines w:val="0"/>
              <w:pageBreakBefore w:val="0"/>
              <w:widowControl/>
              <w:suppressLineNumbers w:val="0"/>
              <w:kinsoku/>
              <w:wordWrap/>
              <w:overflowPunct/>
              <w:topLinePunct w:val="0"/>
              <w:autoSpaceDE/>
              <w:autoSpaceDN/>
              <w:bidi w:val="0"/>
              <w:spacing w:before="0" w:beforeAutospacing="0" w:after="0" w:afterAutospacing="0" w:line="400" w:lineRule="exact"/>
              <w:ind w:left="0" w:leftChars="0" w:right="0" w:rightChars="0"/>
              <w:jc w:val="left"/>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 xml:space="preserve">1.主险：累计赔偿限额：500万 每次事故赔偿限额：200 万 每次事故人身伤亡责任限额：100万 每次事故每人人身伤亡责任限额：20万 每次事故每人医疗责任限额：2万 每次事故财产赔偿限额：1万 每次事故每人财产赔偿限额：0.5万 </w:t>
            </w:r>
          </w:p>
          <w:p w14:paraId="3F48D59A">
            <w:pPr>
              <w:keepNext w:val="0"/>
              <w:keepLines w:val="0"/>
              <w:pageBreakBefore w:val="0"/>
              <w:widowControl/>
              <w:suppressLineNumbers w:val="0"/>
              <w:kinsoku/>
              <w:wordWrap/>
              <w:overflowPunct/>
              <w:topLinePunct w:val="0"/>
              <w:autoSpaceDE/>
              <w:autoSpaceDN/>
              <w:bidi w:val="0"/>
              <w:spacing w:before="0" w:beforeAutospacing="0" w:after="0" w:afterAutospacing="0" w:line="400" w:lineRule="exact"/>
              <w:ind w:left="0" w:leftChars="0" w:right="0" w:rightChars="0"/>
              <w:jc w:val="left"/>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2.附加险（名称及限额）：附加停车场责任条款：保额同主险 。</w:t>
            </w:r>
          </w:p>
          <w:p w14:paraId="716DAEDB">
            <w:pPr>
              <w:keepNext w:val="0"/>
              <w:keepLines w:val="0"/>
              <w:pageBreakBefore w:val="0"/>
              <w:widowControl/>
              <w:suppressLineNumbers w:val="0"/>
              <w:kinsoku/>
              <w:wordWrap/>
              <w:overflowPunct/>
              <w:topLinePunct w:val="0"/>
              <w:autoSpaceDE/>
              <w:autoSpaceDN/>
              <w:bidi w:val="0"/>
              <w:spacing w:before="0" w:beforeAutospacing="0" w:after="0" w:afterAutospacing="0" w:line="400" w:lineRule="exact"/>
              <w:ind w:left="0" w:leftChars="0" w:right="0" w:rightChars="0"/>
              <w:jc w:val="left"/>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 xml:space="preserve">3.免赔：每次事故医疗费用，在被保险人依法应承担且符合国家基本医疗保险报销标准的医疗费用基础，扣除绝对免赔额200元后按照80%的比例在相应责任限额内赔付。每次事故财产损失绝对免赔额为500元或损失金额的10%，两者以高者为准。 </w:t>
            </w:r>
          </w:p>
          <w:p w14:paraId="38694E66">
            <w:pPr>
              <w:keepNext w:val="0"/>
              <w:keepLines w:val="0"/>
              <w:pageBreakBefore w:val="0"/>
              <w:widowControl/>
              <w:suppressLineNumbers w:val="0"/>
              <w:kinsoku/>
              <w:wordWrap/>
              <w:overflowPunct/>
              <w:topLinePunct w:val="0"/>
              <w:autoSpaceDE/>
              <w:autoSpaceDN/>
              <w:bidi w:val="0"/>
              <w:spacing w:before="0" w:beforeAutospacing="0" w:after="0" w:afterAutospacing="0" w:line="400" w:lineRule="exact"/>
              <w:ind w:left="0" w:leftChars="0" w:right="0" w:rightChars="0"/>
              <w:jc w:val="left"/>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4.特约：本保单承保区域为采购人指定的停车场区域。经保险双方约定，高空物体坠落导致的第三者损失，无论事故是否发生在划线车位内，均属于本保单承保范围；停车场区域内发生的车辆划痕、碰撞、盗抢等第三者财产损失，不在本保单保障范围内。</w:t>
            </w:r>
          </w:p>
        </w:tc>
        <w:tc>
          <w:tcPr>
            <w:tcW w:w="1301" w:type="dxa"/>
            <w:tcBorders>
              <w:top w:val="single" w:color="000000" w:sz="4" w:space="0"/>
              <w:left w:val="single" w:color="000000" w:sz="4" w:space="0"/>
              <w:bottom w:val="single" w:color="000000" w:sz="4" w:space="0"/>
              <w:right w:val="single" w:color="000000" w:sz="4" w:space="0"/>
            </w:tcBorders>
            <w:noWrap w:val="0"/>
            <w:vAlign w:val="center"/>
          </w:tcPr>
          <w:p w14:paraId="63CBCF72">
            <w:pPr>
              <w:keepNext w:val="0"/>
              <w:keepLines w:val="0"/>
              <w:pageBreakBefore w:val="0"/>
              <w:widowControl/>
              <w:suppressLineNumbers w:val="0"/>
              <w:kinsoku/>
              <w:wordWrap/>
              <w:overflowPunct/>
              <w:topLinePunct w:val="0"/>
              <w:autoSpaceDE/>
              <w:autoSpaceDN/>
              <w:bidi w:val="0"/>
              <w:spacing w:before="0" w:beforeAutospacing="0" w:after="0" w:afterAutospacing="0" w:line="400" w:lineRule="exact"/>
              <w:ind w:left="0" w:leftChars="0" w:right="0" w:rightChars="0"/>
              <w:jc w:val="center"/>
              <w:textAlignment w:val="center"/>
              <w:rPr>
                <w:rFonts w:hint="default"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sz w:val="24"/>
                <w:szCs w:val="24"/>
                <w:highlight w:val="none"/>
                <w:u w:val="none"/>
                <w:lang w:val="en-US" w:eastAsia="zh-CN"/>
              </w:rPr>
              <w:t>30000</w:t>
            </w:r>
          </w:p>
        </w:tc>
      </w:tr>
    </w:tbl>
    <w:p w14:paraId="5E7100C5">
      <w:pPr>
        <w:pageBreakBefore w:val="0"/>
        <w:kinsoku/>
        <w:wordWrap/>
        <w:overflowPunct/>
        <w:topLinePunct w:val="0"/>
        <w:autoSpaceDE/>
        <w:autoSpaceDN/>
        <w:bidi w:val="0"/>
        <w:spacing w:line="400" w:lineRule="exact"/>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注：1.合同服务期内，采购人新增物业项目需投保公众责任险及附加险的，成交供应商须无条件承接，并按中标折扣报价结算保费，不得以任何理由拒绝或要求提高折扣报价。</w:t>
      </w:r>
    </w:p>
    <w:p w14:paraId="5D7FC5B2">
      <w:pPr>
        <w:pageBreakBefore w:val="0"/>
        <w:kinsoku/>
        <w:wordWrap/>
        <w:overflowPunct/>
        <w:topLinePunct w:val="0"/>
        <w:autoSpaceDE/>
        <w:autoSpaceDN/>
        <w:bidi w:val="0"/>
        <w:spacing w:line="400" w:lineRule="exact"/>
        <w:ind w:firstLine="482" w:firstLineChars="200"/>
        <w:rPr>
          <w:rFonts w:hint="default"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2.若采购人有保险有效期未到期的公共责任险及附加险的，保险有效期到期之后成交供应商须无条件承接，并按中标折扣报价结算保费，不得以任何理由拒绝或要求提高折扣报价。</w:t>
      </w:r>
    </w:p>
    <w:p w14:paraId="4402AB9F">
      <w:pPr>
        <w:keepNext w:val="0"/>
        <w:keepLines w:val="0"/>
        <w:pageBreakBefore w:val="0"/>
        <w:widowControl w:val="0"/>
        <w:kinsoku/>
        <w:wordWrap/>
        <w:overflowPunct/>
        <w:topLinePunct w:val="0"/>
        <w:autoSpaceDE/>
        <w:autoSpaceDN/>
        <w:bidi w:val="0"/>
        <w:adjustRightInd/>
        <w:snapToGrid/>
        <w:spacing w:line="400" w:lineRule="exact"/>
        <w:textAlignment w:val="auto"/>
        <w:outlineLvl w:val="9"/>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（二）保险服务总体要求</w:t>
      </w:r>
    </w:p>
    <w:p w14:paraId="7E7A66A1">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eastAsia="等线"/>
          <w:sz w:val="24"/>
          <w:szCs w:val="24"/>
          <w:highlight w:val="green"/>
          <w:lang w:eastAsia="zh-CN"/>
        </w:rPr>
      </w:pPr>
      <w:r>
        <w:rPr>
          <w:rFonts w:hint="eastAsia" w:ascii="仿宋" w:hAnsi="仿宋" w:eastAsia="仿宋" w:cs="仿宋"/>
          <w:color w:val="auto"/>
          <w:sz w:val="24"/>
          <w:szCs w:val="24"/>
          <w:highlight w:val="none"/>
          <w:lang w:val="en-US" w:eastAsia="zh-CN"/>
        </w:rPr>
        <w:t>1.保险期限：本项目保险期限为一年，自保险合同生效之日起计算，如遇特殊情况，服务期限以采购人实际需求为准。</w:t>
      </w:r>
    </w:p>
    <w:p w14:paraId="5DE42849">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2.保单出具：成交供应商应在保险合同签订后5个工作日内，根据上述各项目需求分别出具正式保险单，并将保险单正本交付采购人。</w:t>
      </w:r>
    </w:p>
    <w:p w14:paraId="385D6783">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3.保险凭证：成交供应商应为采购人各项目分别提供保险凭证，确保各项目独立享有保险保障。</w:t>
      </w:r>
    </w:p>
    <w:p w14:paraId="67D5062E">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4.免赔额/免赔率：各险种免赔额（率）按上述各项目具体需求执行，未特别注明的按保险行业通行标准执行。</w:t>
      </w:r>
    </w:p>
    <w:p w14:paraId="01D10A93">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5.供应商应在保险到期前30天书面通知采购人，并提供续保建议方案。</w:t>
      </w:r>
    </w:p>
    <w:p w14:paraId="44CA3080">
      <w:pPr>
        <w:keepNext w:val="0"/>
        <w:keepLines w:val="0"/>
        <w:pageBreakBefore w:val="0"/>
        <w:widowControl/>
        <w:suppressLineNumbers w:val="0"/>
        <w:kinsoku/>
        <w:wordWrap/>
        <w:overflowPunct/>
        <w:topLinePunct w:val="0"/>
        <w:autoSpaceDE/>
        <w:autoSpaceDN/>
        <w:bidi w:val="0"/>
        <w:spacing w:line="400" w:lineRule="exact"/>
        <w:jc w:val="left"/>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（三）理赔服务要求</w:t>
      </w:r>
    </w:p>
    <w:p w14:paraId="39EED278">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1.对于采购人的报案及索赔申请，中标供应商均须迅速处理，按照下述理赔时效限制，在赔款金额确定后支付赔款：</w:t>
      </w:r>
    </w:p>
    <w:p w14:paraId="62987FC2">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RMB5万元以内赔款7个工作日内支付；</w:t>
      </w:r>
    </w:p>
    <w:p w14:paraId="184D8817">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RMB5万元（含）至RMB10万元以内赔款10个工作日内支付；</w:t>
      </w:r>
    </w:p>
    <w:p w14:paraId="54EB286B">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RMBXX10万元（含）至RMB50万元以内赔款15个工作日支付；</w:t>
      </w:r>
    </w:p>
    <w:p w14:paraId="51A2A8EF">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RMB50万元及以上赔款根据实际情况议定后支付。</w:t>
      </w:r>
    </w:p>
    <w:p w14:paraId="37E67944">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2.中标供应商支付保险赔款后应及时通知采购人并提供盖章的赔款计算书。</w:t>
      </w:r>
    </w:p>
    <w:p w14:paraId="75AC570E">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3.对于保险责任明确、索赔材料齐全的小额案件，供应商应开通快速理赔通道，实行“先赔后审”或简化理赔流程。</w:t>
      </w:r>
    </w:p>
    <w:p w14:paraId="6AFA1AAE">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当第三者遵循法律途径（包括但不限于诉讼、仲裁、调解、发律师函等）要求采购人承担赔偿责任时，采购人有权自行处理。中标供应商应当提供必要的文件和其所知悉的有关情况，并配合采购人及其他被保险人处理上述事宜。</w:t>
      </w:r>
    </w:p>
    <w:p w14:paraId="6CB7D05F">
      <w:pPr>
        <w:keepNext w:val="0"/>
        <w:keepLines w:val="0"/>
        <w:pageBreakBefore w:val="0"/>
        <w:widowControl/>
        <w:suppressLineNumbers w:val="0"/>
        <w:kinsoku/>
        <w:wordWrap/>
        <w:overflowPunct/>
        <w:topLinePunct w:val="0"/>
        <w:autoSpaceDE/>
        <w:autoSpaceDN/>
        <w:bidi w:val="0"/>
        <w:spacing w:line="400" w:lineRule="exact"/>
        <w:jc w:val="left"/>
        <w:textAlignment w:val="center"/>
        <w:rPr>
          <w:rFonts w:hint="eastAsia" w:ascii="仿宋" w:hAnsi="仿宋" w:eastAsia="仿宋" w:cs="仿宋"/>
          <w:color w:val="auto"/>
          <w:kern w:val="2"/>
          <w:sz w:val="24"/>
          <w:szCs w:val="24"/>
          <w:highlight w:val="none"/>
          <w:lang w:val="en-US" w:eastAsia="zh-CN" w:bidi="ar-SA"/>
        </w:rPr>
      </w:pPr>
      <w:bookmarkStart w:id="57" w:name="_Toc5337"/>
      <w:r>
        <w:rPr>
          <w:rFonts w:hint="eastAsia" w:ascii="仿宋" w:hAnsi="仿宋" w:eastAsia="仿宋" w:cs="仿宋"/>
          <w:color w:val="auto"/>
          <w:kern w:val="2"/>
          <w:sz w:val="24"/>
          <w:szCs w:val="24"/>
          <w:highlight w:val="none"/>
          <w:lang w:val="en-US" w:eastAsia="zh-CN" w:bidi="ar-SA"/>
        </w:rPr>
        <w:t>（四）其他要求</w:t>
      </w:r>
      <w:bookmarkEnd w:id="57"/>
    </w:p>
    <w:p w14:paraId="5E8092AE">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1.成交供应商应严格遵守国家法律法规和保险监管规定，规范经营行为。</w:t>
      </w:r>
    </w:p>
    <w:p w14:paraId="6A6C95C1">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2.成交供应商应做好客户信息保密工作，未经采购人书面同意，不得向任何第三方透露采购人及被保险人的信息资料。</w:t>
      </w:r>
    </w:p>
    <w:p w14:paraId="46A5A5D1">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bCs/>
          <w:color w:val="auto"/>
          <w:sz w:val="24"/>
          <w:szCs w:val="24"/>
          <w:highlight w:val="none"/>
        </w:rPr>
      </w:pPr>
      <w:r>
        <w:rPr>
          <w:rFonts w:hint="eastAsia" w:ascii="仿宋" w:hAnsi="仿宋" w:eastAsia="仿宋" w:cs="仿宋"/>
          <w:color w:val="auto"/>
          <w:sz w:val="24"/>
          <w:szCs w:val="24"/>
          <w:highlight w:val="none"/>
          <w:lang w:val="en-US" w:eastAsia="zh-CN"/>
        </w:rPr>
        <w:t>3.保险期间内，若发生重大事故或影响较大的突发事件，成交供应商应在第一时间向采购人报告，并积极协助处理。</w:t>
      </w:r>
      <w:r>
        <w:rPr>
          <w:rFonts w:hint="eastAsia" w:ascii="仿宋" w:hAnsi="仿宋" w:eastAsia="仿宋" w:cs="仿宋"/>
          <w:bCs/>
          <w:color w:val="auto"/>
          <w:sz w:val="24"/>
          <w:szCs w:val="24"/>
          <w:highlight w:val="none"/>
        </w:rPr>
        <w:br w:type="page"/>
      </w:r>
    </w:p>
    <w:p w14:paraId="45112D19">
      <w:pPr>
        <w:pStyle w:val="2"/>
        <w:spacing w:before="0" w:beforeLines="0" w:after="0" w:afterLines="0" w:line="360" w:lineRule="auto"/>
        <w:rPr>
          <w:rFonts w:hint="eastAsia" w:ascii="仿宋" w:hAnsi="仿宋" w:eastAsia="仿宋" w:cs="仿宋"/>
          <w:b/>
          <w:bCs/>
          <w:color w:val="auto"/>
          <w:sz w:val="44"/>
          <w:szCs w:val="44"/>
          <w:highlight w:val="none"/>
        </w:rPr>
      </w:pPr>
      <w:bookmarkStart w:id="58" w:name="_Toc3015"/>
      <w:r>
        <w:rPr>
          <w:rFonts w:hint="eastAsia" w:ascii="仿宋" w:hAnsi="仿宋" w:eastAsia="仿宋" w:cs="仿宋"/>
          <w:b/>
          <w:bCs/>
          <w:color w:val="auto"/>
          <w:sz w:val="44"/>
          <w:szCs w:val="44"/>
          <w:highlight w:val="none"/>
        </w:rPr>
        <w:t>第三篇 项目商务需求</w:t>
      </w:r>
      <w:bookmarkEnd w:id="37"/>
      <w:bookmarkEnd w:id="58"/>
    </w:p>
    <w:p w14:paraId="3B7F9703">
      <w:pPr>
        <w:pStyle w:val="3"/>
        <w:pageBreakBefore w:val="0"/>
        <w:widowControl w:val="0"/>
        <w:numPr>
          <w:ilvl w:val="0"/>
          <w:numId w:val="0"/>
        </w:numPr>
        <w:kinsoku/>
        <w:wordWrap/>
        <w:overflowPunct/>
        <w:topLinePunct w:val="0"/>
        <w:autoSpaceDE/>
        <w:autoSpaceDN/>
        <w:bidi w:val="0"/>
        <w:spacing w:line="400" w:lineRule="exact"/>
        <w:textAlignment w:val="auto"/>
        <w:rPr>
          <w:rFonts w:hint="eastAsia" w:ascii="仿宋" w:hAnsi="仿宋" w:eastAsia="仿宋" w:cs="仿宋"/>
          <w:b/>
          <w:color w:val="auto"/>
          <w:kern w:val="2"/>
          <w:sz w:val="24"/>
          <w:szCs w:val="24"/>
          <w:lang w:val="en-US" w:eastAsia="zh-CN" w:bidi="ar-SA"/>
        </w:rPr>
      </w:pPr>
      <w:bookmarkStart w:id="59" w:name="_Toc17750"/>
      <w:bookmarkStart w:id="60" w:name="_Toc12935"/>
      <w:bookmarkStart w:id="61" w:name="_Toc14316"/>
      <w:bookmarkStart w:id="62" w:name="_Toc13555"/>
      <w:bookmarkStart w:id="63" w:name="_Toc31185"/>
      <w:bookmarkStart w:id="64" w:name="_Toc65660342"/>
      <w:bookmarkStart w:id="65" w:name="_Toc11641055"/>
      <w:bookmarkStart w:id="66" w:name="_Toc12789059"/>
      <w:r>
        <w:rPr>
          <w:rFonts w:hint="eastAsia" w:ascii="仿宋" w:hAnsi="仿宋" w:eastAsia="仿宋" w:cs="仿宋"/>
          <w:b/>
          <w:color w:val="auto"/>
          <w:kern w:val="2"/>
          <w:sz w:val="24"/>
          <w:szCs w:val="24"/>
          <w:lang w:val="en-US" w:eastAsia="zh-CN" w:bidi="ar-SA"/>
        </w:rPr>
        <w:t>一、服务时间、地点及验收方式</w:t>
      </w:r>
      <w:bookmarkEnd w:id="59"/>
      <w:bookmarkEnd w:id="60"/>
      <w:bookmarkEnd w:id="61"/>
      <w:bookmarkEnd w:id="62"/>
      <w:bookmarkEnd w:id="63"/>
      <w:bookmarkEnd w:id="64"/>
    </w:p>
    <w:p w14:paraId="391D33BB">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（一）服务时间</w:t>
      </w:r>
    </w:p>
    <w:p w14:paraId="0A0F1EB1">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本项目服务期为1年，若在服务期内，若因法律法规、上级部门政策调整或采购人项目提前终止影响本项目合同执行的，按法律法规、上级部门政策、采购人要求执行，并自动解除合同。成交供应商在响应前应充分考虑此潜在风险，并承担可能因此造成的一切经济损失，且采购人不承担任何违约责任。。</w:t>
      </w:r>
    </w:p>
    <w:p w14:paraId="7F3FBB89">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（二）服务地点</w:t>
      </w:r>
    </w:p>
    <w:p w14:paraId="7F9ECFE5">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采购人指定地点。</w:t>
      </w:r>
    </w:p>
    <w:p w14:paraId="578AEB9C">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验收方式</w:t>
      </w:r>
    </w:p>
    <w:p w14:paraId="0D8C27B1">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outlineLvl w:val="9"/>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以合同签订验收方式为准。</w:t>
      </w:r>
    </w:p>
    <w:p w14:paraId="3743DA7D">
      <w:pPr>
        <w:pStyle w:val="3"/>
        <w:pageBreakBefore w:val="0"/>
        <w:widowControl w:val="0"/>
        <w:numPr>
          <w:ilvl w:val="0"/>
          <w:numId w:val="0"/>
        </w:numPr>
        <w:kinsoku/>
        <w:wordWrap/>
        <w:overflowPunct/>
        <w:topLinePunct w:val="0"/>
        <w:autoSpaceDE/>
        <w:autoSpaceDN/>
        <w:bidi w:val="0"/>
        <w:spacing w:line="400" w:lineRule="exact"/>
        <w:textAlignment w:val="auto"/>
        <w:rPr>
          <w:rFonts w:hint="eastAsia" w:ascii="仿宋" w:hAnsi="仿宋" w:eastAsia="仿宋" w:cs="仿宋"/>
          <w:b/>
          <w:color w:val="auto"/>
          <w:kern w:val="2"/>
          <w:sz w:val="24"/>
          <w:szCs w:val="24"/>
          <w:lang w:val="en-US" w:eastAsia="zh-CN" w:bidi="ar-SA"/>
        </w:rPr>
      </w:pPr>
      <w:bookmarkStart w:id="67" w:name="_Toc65660343"/>
      <w:bookmarkStart w:id="68" w:name="_Toc8103"/>
      <w:bookmarkStart w:id="69" w:name="_Toc24110"/>
      <w:bookmarkStart w:id="70" w:name="_Toc21736"/>
      <w:bookmarkStart w:id="71" w:name="_Toc20419"/>
      <w:bookmarkStart w:id="72" w:name="_Toc1838"/>
      <w:r>
        <w:rPr>
          <w:rFonts w:hint="eastAsia" w:ascii="仿宋" w:hAnsi="仿宋" w:eastAsia="仿宋" w:cs="仿宋"/>
          <w:b/>
          <w:color w:val="auto"/>
          <w:kern w:val="2"/>
          <w:sz w:val="24"/>
          <w:szCs w:val="24"/>
          <w:lang w:val="en-US" w:eastAsia="zh-CN" w:bidi="ar-SA"/>
        </w:rPr>
        <w:t>二、质量保证及售后服务</w:t>
      </w:r>
      <w:bookmarkEnd w:id="67"/>
      <w:bookmarkEnd w:id="68"/>
      <w:bookmarkEnd w:id="69"/>
      <w:bookmarkEnd w:id="70"/>
      <w:bookmarkEnd w:id="71"/>
      <w:bookmarkEnd w:id="72"/>
    </w:p>
    <w:p w14:paraId="0F76BFA5">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bookmarkStart w:id="73" w:name="_Toc65660344"/>
      <w:bookmarkStart w:id="74" w:name="_Toc122"/>
      <w:bookmarkStart w:id="75" w:name="_Toc12184"/>
      <w:bookmarkStart w:id="76" w:name="_Toc30378"/>
      <w:bookmarkStart w:id="77" w:name="_Toc16974"/>
      <w:r>
        <w:rPr>
          <w:rFonts w:hint="eastAsia" w:ascii="仿宋" w:hAnsi="仿宋" w:eastAsia="仿宋" w:cs="仿宋"/>
          <w:color w:val="auto"/>
          <w:sz w:val="24"/>
          <w:szCs w:val="24"/>
          <w:highlight w:val="none"/>
          <w:lang w:val="en-US" w:eastAsia="zh-CN"/>
        </w:rPr>
        <w:t>按照“主动、迅速、准确”的理赔原则处理理赔案，力争将损失程度减低到最小，确保被保险人及时得到补偿。保险公司应当在人员、技术、资金等方面给与充分的保证和支持，可随时参与解决出现的问题。</w:t>
      </w:r>
    </w:p>
    <w:p w14:paraId="0876FCB1">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1.报案处理、查勘、定损、赔付时效，查勘人员应及时抵达事故现场。</w:t>
      </w:r>
    </w:p>
    <w:p w14:paraId="7F8369DF">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2.应严格执行365 天、24 小时的全天候接报案制度，接到报案通知后，中标供应商必须立即答复是否需要保留现场。如需要，专责理赔人员须在2 小时内赶到现场，或在24 小时内委托双方共同认可的公估公司赶到损失现场，进行现场查勘定损工作。</w:t>
      </w:r>
    </w:p>
    <w:p w14:paraId="11D33DE0">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3.根据采购人要求或现场管理需要，中标供应商负责对采购人免费提供保险专业知识的培训。</w:t>
      </w:r>
    </w:p>
    <w:p w14:paraId="247D6827">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4.供应商应建立完善的客户服务档案，对采购人的咨询、投诉、建议等及时响应和处理。</w:t>
      </w:r>
    </w:p>
    <w:p w14:paraId="391C6073">
      <w:pPr>
        <w:pStyle w:val="3"/>
        <w:pageBreakBefore w:val="0"/>
        <w:widowControl w:val="0"/>
        <w:numPr>
          <w:ilvl w:val="0"/>
          <w:numId w:val="0"/>
        </w:numPr>
        <w:kinsoku/>
        <w:wordWrap/>
        <w:overflowPunct/>
        <w:topLinePunct w:val="0"/>
        <w:autoSpaceDE/>
        <w:autoSpaceDN/>
        <w:bidi w:val="0"/>
        <w:spacing w:line="400" w:lineRule="exact"/>
        <w:textAlignment w:val="auto"/>
        <w:rPr>
          <w:rFonts w:hint="eastAsia" w:ascii="仿宋" w:hAnsi="仿宋" w:eastAsia="仿宋" w:cs="仿宋"/>
          <w:b/>
          <w:color w:val="auto"/>
          <w:kern w:val="2"/>
          <w:sz w:val="24"/>
          <w:szCs w:val="24"/>
          <w:lang w:val="en-US" w:eastAsia="zh-CN" w:bidi="ar-SA"/>
        </w:rPr>
      </w:pPr>
      <w:bookmarkStart w:id="78" w:name="_Toc363"/>
      <w:r>
        <w:rPr>
          <w:rFonts w:hint="eastAsia" w:ascii="仿宋" w:hAnsi="仿宋" w:eastAsia="仿宋" w:cs="仿宋"/>
          <w:b/>
          <w:color w:val="auto"/>
          <w:kern w:val="2"/>
          <w:sz w:val="24"/>
          <w:szCs w:val="24"/>
          <w:lang w:val="en-US" w:eastAsia="zh-CN" w:bidi="ar-SA"/>
        </w:rPr>
        <w:t>三、报价要求</w:t>
      </w:r>
      <w:bookmarkEnd w:id="73"/>
      <w:bookmarkEnd w:id="74"/>
      <w:bookmarkEnd w:id="75"/>
      <w:bookmarkEnd w:id="76"/>
      <w:bookmarkEnd w:id="77"/>
      <w:bookmarkEnd w:id="78"/>
    </w:p>
    <w:p w14:paraId="404D14C9">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bookmarkStart w:id="79" w:name="_Toc7562"/>
      <w:bookmarkStart w:id="80" w:name="_Toc11000"/>
      <w:bookmarkStart w:id="81" w:name="_Toc65660345"/>
      <w:bookmarkStart w:id="82" w:name="_Toc9192"/>
      <w:r>
        <w:rPr>
          <w:rFonts w:hint="eastAsia" w:ascii="仿宋" w:hAnsi="仿宋" w:eastAsia="仿宋" w:cs="仿宋"/>
          <w:color w:val="auto"/>
          <w:sz w:val="24"/>
          <w:szCs w:val="24"/>
          <w:highlight w:val="none"/>
          <w:lang w:val="en-US" w:eastAsia="zh-CN"/>
        </w:rPr>
        <w:t>本次报价须为折扣报价（</w:t>
      </w:r>
      <w:r>
        <w:rPr>
          <w:rFonts w:hint="eastAsia" w:ascii="仿宋" w:hAnsi="仿宋" w:eastAsia="仿宋" w:cs="仿宋"/>
          <w:b/>
          <w:bCs/>
          <w:color w:val="auto"/>
          <w:kern w:val="2"/>
          <w:sz w:val="24"/>
          <w:szCs w:val="24"/>
          <w:highlight w:val="none"/>
          <w:lang w:val="en-US" w:eastAsia="zh-CN" w:bidi="ar-SA"/>
        </w:rPr>
        <w:t>折扣报</w:t>
      </w:r>
      <w:r>
        <w:rPr>
          <w:rFonts w:hint="eastAsia" w:ascii="仿宋" w:hAnsi="仿宋" w:eastAsia="仿宋" w:cs="仿宋"/>
          <w:b/>
          <w:bCs/>
          <w:color w:val="auto"/>
          <w:sz w:val="24"/>
          <w:szCs w:val="24"/>
          <w:highlight w:val="none"/>
          <w:lang w:val="en-US" w:eastAsia="zh-CN"/>
        </w:rPr>
        <w:t>价在0%-100%，须保留两位小数。</w:t>
      </w:r>
      <w:r>
        <w:rPr>
          <w:rFonts w:hint="eastAsia" w:ascii="仿宋" w:hAnsi="仿宋" w:eastAsia="仿宋" w:cs="仿宋"/>
          <w:color w:val="auto"/>
          <w:sz w:val="24"/>
          <w:szCs w:val="24"/>
          <w:highlight w:val="none"/>
          <w:lang w:val="en-US" w:eastAsia="zh-CN"/>
        </w:rPr>
        <w:t>）之间填报，包括所有的保险费、服务费、办公费、税费等所有费用。因供应商自身原因造成漏报、少报皆由其自行承担责任，采购人不再补偿。</w:t>
      </w:r>
    </w:p>
    <w:p w14:paraId="46915E31">
      <w:pPr>
        <w:pageBreakBefore w:val="0"/>
        <w:widowControl w:val="0"/>
        <w:kinsoku/>
        <w:wordWrap/>
        <w:overflowPunct/>
        <w:topLinePunct w:val="0"/>
        <w:autoSpaceDE/>
        <w:autoSpaceDN/>
        <w:bidi w:val="0"/>
        <w:spacing w:line="400" w:lineRule="exact"/>
        <w:ind w:firstLine="482" w:firstLineChars="200"/>
        <w:textAlignment w:val="auto"/>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保费定价原则</w:t>
      </w:r>
    </w:p>
    <w:p w14:paraId="066AD821">
      <w:pPr>
        <w:pageBreakBefore w:val="0"/>
        <w:widowControl w:val="0"/>
        <w:kinsoku/>
        <w:wordWrap/>
        <w:overflowPunct/>
        <w:topLinePunct w:val="0"/>
        <w:autoSpaceDE/>
        <w:autoSpaceDN/>
        <w:bidi w:val="0"/>
        <w:spacing w:line="400" w:lineRule="exact"/>
        <w:ind w:firstLine="482" w:firstLineChars="200"/>
        <w:textAlignment w:val="auto"/>
        <w:rPr>
          <w:rFonts w:hint="default"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1.新增项目保费= 【采购人确定的该项目基准保费】×【中标折扣报价】。基准保费由采购人参考该项目过往保费金额、同区域同类型项目保费水平或行业费率标准另行商谈确定。</w:t>
      </w:r>
    </w:p>
    <w:p w14:paraId="02F04951">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outlineLvl w:val="9"/>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2.保险有效期未到期的项目保费=【项目对应保费金额】×【中标折扣报价】</w:t>
      </w:r>
      <w:bookmarkStart w:id="83" w:name="_Toc24560"/>
    </w:p>
    <w:p w14:paraId="59EAE0A1">
      <w:pPr>
        <w:pStyle w:val="3"/>
        <w:pageBreakBefore w:val="0"/>
        <w:widowControl w:val="0"/>
        <w:numPr>
          <w:ilvl w:val="0"/>
          <w:numId w:val="0"/>
        </w:numPr>
        <w:kinsoku/>
        <w:wordWrap/>
        <w:overflowPunct/>
        <w:topLinePunct w:val="0"/>
        <w:autoSpaceDE/>
        <w:autoSpaceDN/>
        <w:bidi w:val="0"/>
        <w:spacing w:line="400" w:lineRule="exact"/>
        <w:textAlignment w:val="auto"/>
        <w:rPr>
          <w:rFonts w:hint="eastAsia" w:ascii="仿宋" w:hAnsi="仿宋" w:eastAsia="仿宋" w:cs="仿宋"/>
          <w:b/>
          <w:color w:val="auto"/>
          <w:kern w:val="2"/>
          <w:sz w:val="24"/>
          <w:szCs w:val="24"/>
          <w:highlight w:val="none"/>
          <w:lang w:val="en-US" w:eastAsia="zh-CN" w:bidi="ar-SA"/>
        </w:rPr>
      </w:pPr>
      <w:bookmarkStart w:id="84" w:name="_Toc22252"/>
      <w:r>
        <w:rPr>
          <w:rFonts w:hint="eastAsia" w:ascii="仿宋" w:hAnsi="仿宋" w:eastAsia="仿宋" w:cs="仿宋"/>
          <w:b/>
          <w:color w:val="auto"/>
          <w:kern w:val="2"/>
          <w:sz w:val="24"/>
          <w:szCs w:val="24"/>
          <w:highlight w:val="none"/>
          <w:lang w:val="en-US" w:eastAsia="zh-CN" w:bidi="ar-SA"/>
        </w:rPr>
        <w:t>四、付款方式</w:t>
      </w:r>
      <w:bookmarkEnd w:id="79"/>
      <w:bookmarkEnd w:id="80"/>
      <w:bookmarkEnd w:id="81"/>
      <w:bookmarkEnd w:id="82"/>
      <w:bookmarkEnd w:id="83"/>
      <w:bookmarkEnd w:id="84"/>
      <w:bookmarkStart w:id="85" w:name="_Toc20073"/>
      <w:bookmarkStart w:id="86" w:name="_Toc21077"/>
      <w:bookmarkStart w:id="87" w:name="_Toc65660348"/>
      <w:bookmarkStart w:id="88" w:name="_Toc21248"/>
      <w:bookmarkStart w:id="89" w:name="_Toc23902"/>
      <w:bookmarkStart w:id="90" w:name="_Toc31659"/>
    </w:p>
    <w:p w14:paraId="1CBEF953">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1.保险费实行一年一付。根据采购人各项目保险费，采购人在收到《缴费通知书》并经采购人审核无误后,在保险起始前10个工作日内将相应的保险费划付成交供应商。</w:t>
      </w:r>
    </w:p>
    <w:p w14:paraId="2B1D6B2D">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2.保险费到账后，乙方应于保险起始日期前3个工作日内根据投保单及相关投保资料出具保险单，并开具符合采购人要求的全额保费发票一同送交采购人。</w:t>
      </w:r>
    </w:p>
    <w:p w14:paraId="647F42BF">
      <w:pPr>
        <w:pStyle w:val="3"/>
        <w:pageBreakBefore w:val="0"/>
        <w:widowControl w:val="0"/>
        <w:numPr>
          <w:ilvl w:val="0"/>
          <w:numId w:val="0"/>
        </w:numPr>
        <w:kinsoku/>
        <w:wordWrap/>
        <w:overflowPunct/>
        <w:topLinePunct w:val="0"/>
        <w:autoSpaceDE/>
        <w:autoSpaceDN/>
        <w:bidi w:val="0"/>
        <w:spacing w:line="400" w:lineRule="exact"/>
        <w:textAlignment w:val="auto"/>
        <w:rPr>
          <w:rFonts w:hint="eastAsia" w:ascii="仿宋" w:hAnsi="仿宋" w:eastAsia="仿宋" w:cs="仿宋"/>
          <w:b/>
          <w:color w:val="auto"/>
          <w:kern w:val="2"/>
          <w:sz w:val="24"/>
          <w:szCs w:val="24"/>
          <w:lang w:val="en-US" w:eastAsia="zh-CN" w:bidi="ar-SA"/>
        </w:rPr>
      </w:pPr>
      <w:bookmarkStart w:id="91" w:name="_Toc18473"/>
      <w:r>
        <w:rPr>
          <w:rFonts w:hint="eastAsia" w:ascii="仿宋" w:hAnsi="仿宋" w:eastAsia="仿宋" w:cs="仿宋"/>
          <w:b/>
          <w:color w:val="auto"/>
          <w:kern w:val="2"/>
          <w:sz w:val="24"/>
          <w:szCs w:val="24"/>
          <w:lang w:val="en-US" w:eastAsia="zh-CN" w:bidi="ar-SA"/>
        </w:rPr>
        <w:t>五、履约保证金</w:t>
      </w:r>
      <w:bookmarkEnd w:id="85"/>
      <w:bookmarkEnd w:id="86"/>
      <w:bookmarkEnd w:id="91"/>
    </w:p>
    <w:p w14:paraId="43B0BAEB">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1.成交供应商收到成交通知书后，签订合同前，成交供应商向采购人缴纳</w:t>
      </w:r>
      <w:r>
        <w:rPr>
          <w:rFonts w:hint="eastAsia" w:ascii="仿宋" w:hAnsi="仿宋" w:eastAsia="仿宋" w:cs="仿宋"/>
          <w:color w:val="auto"/>
          <w:sz w:val="24"/>
          <w:szCs w:val="24"/>
          <w:highlight w:val="none"/>
          <w:u w:val="single"/>
          <w:lang w:val="en-US" w:eastAsia="zh-CN"/>
        </w:rPr>
        <w:t>5000.00</w:t>
      </w:r>
      <w:r>
        <w:rPr>
          <w:rFonts w:hint="eastAsia" w:ascii="仿宋" w:hAnsi="仿宋" w:eastAsia="仿宋" w:cs="仿宋"/>
          <w:color w:val="auto"/>
          <w:sz w:val="24"/>
          <w:szCs w:val="24"/>
          <w:highlight w:val="none"/>
          <w:lang w:val="en-US" w:eastAsia="zh-CN"/>
        </w:rPr>
        <w:t>元的履约保证金（以支票、汇票、本票、银行转账或者中华人民共和国境内注册的可开展非融资担保类业务的银行、保险公司、担保公司等出具的不可撤销的、见索即付的保函等非现金形式提交）；成交供应商不按照合同和招标文件要求履行义务的，采购人有权不予退还履约保证金。若保证金为保函形式，保函有效期需覆盖整个项目服务期，保函原件交采购人保管。</w:t>
      </w:r>
    </w:p>
    <w:p w14:paraId="5A6E65BB">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注：若以保函形式提交，保函出具担保方须满足《重庆市财政局关于开展政府采购保函业务的通知》（“渝财采购〔2023〕7号”）相关要求。）</w:t>
      </w:r>
    </w:p>
    <w:p w14:paraId="0550C33E">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2.服务期满后，采购人参照渝财采购〔2021〕13号文件和合同约定内容执行履约保证金无息退还流程。</w:t>
      </w:r>
    </w:p>
    <w:p w14:paraId="461ADBB9">
      <w:pPr>
        <w:pStyle w:val="3"/>
        <w:pageBreakBefore w:val="0"/>
        <w:widowControl w:val="0"/>
        <w:numPr>
          <w:ilvl w:val="0"/>
          <w:numId w:val="0"/>
        </w:numPr>
        <w:kinsoku/>
        <w:wordWrap/>
        <w:overflowPunct/>
        <w:topLinePunct w:val="0"/>
        <w:autoSpaceDE/>
        <w:autoSpaceDN/>
        <w:bidi w:val="0"/>
        <w:spacing w:line="400" w:lineRule="exact"/>
        <w:textAlignment w:val="auto"/>
        <w:rPr>
          <w:rFonts w:hint="eastAsia" w:ascii="仿宋" w:hAnsi="仿宋" w:eastAsia="仿宋" w:cs="仿宋"/>
          <w:b/>
          <w:color w:val="auto"/>
          <w:kern w:val="2"/>
          <w:sz w:val="24"/>
          <w:szCs w:val="24"/>
          <w:lang w:val="en-US" w:eastAsia="zh-CN" w:bidi="ar-SA"/>
        </w:rPr>
      </w:pPr>
      <w:bookmarkStart w:id="92" w:name="_Toc19363"/>
      <w:bookmarkStart w:id="93" w:name="_Toc592"/>
      <w:r>
        <w:rPr>
          <w:rFonts w:hint="eastAsia" w:ascii="仿宋" w:hAnsi="仿宋" w:eastAsia="仿宋" w:cs="仿宋"/>
          <w:b/>
          <w:color w:val="auto"/>
          <w:kern w:val="2"/>
          <w:sz w:val="24"/>
          <w:szCs w:val="24"/>
          <w:lang w:val="en-US" w:eastAsia="zh-CN" w:bidi="ar-SA"/>
        </w:rPr>
        <w:t>六、其他</w:t>
      </w:r>
      <w:bookmarkEnd w:id="87"/>
      <w:bookmarkEnd w:id="88"/>
      <w:bookmarkEnd w:id="89"/>
      <w:bookmarkEnd w:id="90"/>
      <w:bookmarkEnd w:id="92"/>
      <w:bookmarkEnd w:id="93"/>
    </w:p>
    <w:p w14:paraId="03780AC9">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1.其他未尽事宜由供需双方在采购合同中详细约定。</w:t>
      </w:r>
    </w:p>
    <w:p w14:paraId="77AAB52F">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2.供应商必须在响应文件中对以上条款和服务承诺明确列出，承诺内容必须达到本篇的要求。</w:t>
      </w:r>
    </w:p>
    <w:p w14:paraId="0B946BE9">
      <w:pPr>
        <w:pageBreakBefore w:val="0"/>
        <w:widowControl w:val="0"/>
        <w:kinsoku/>
        <w:wordWrap/>
        <w:overflowPunct/>
        <w:topLinePunct w:val="0"/>
        <w:autoSpaceDE/>
        <w:autoSpaceDN/>
        <w:bidi w:val="0"/>
        <w:spacing w:line="400" w:lineRule="exac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br w:type="page"/>
      </w:r>
    </w:p>
    <w:bookmarkEnd w:id="65"/>
    <w:bookmarkEnd w:id="66"/>
    <w:p w14:paraId="3EB8C41E">
      <w:pPr>
        <w:pStyle w:val="2"/>
        <w:numPr>
          <w:ilvl w:val="0"/>
          <w:numId w:val="2"/>
        </w:numPr>
        <w:spacing w:before="0" w:beforeLines="0" w:after="0" w:afterLines="0" w:line="360" w:lineRule="auto"/>
        <w:rPr>
          <w:rFonts w:hint="eastAsia" w:ascii="仿宋" w:hAnsi="仿宋" w:eastAsia="仿宋" w:cs="仿宋"/>
          <w:b/>
          <w:bCs/>
          <w:color w:val="auto"/>
          <w:sz w:val="44"/>
          <w:szCs w:val="44"/>
          <w:highlight w:val="none"/>
        </w:rPr>
      </w:pPr>
      <w:r>
        <w:rPr>
          <w:rFonts w:hint="eastAsia" w:ascii="仿宋" w:hAnsi="仿宋" w:eastAsia="仿宋" w:cs="仿宋"/>
          <w:b/>
          <w:bCs/>
          <w:color w:val="auto"/>
          <w:sz w:val="44"/>
          <w:szCs w:val="44"/>
          <w:highlight w:val="none"/>
        </w:rPr>
        <w:t xml:space="preserve"> </w:t>
      </w:r>
      <w:bookmarkStart w:id="94" w:name="_Toc30296"/>
      <w:r>
        <w:rPr>
          <w:rFonts w:hint="eastAsia" w:ascii="仿宋" w:hAnsi="仿宋" w:eastAsia="仿宋" w:cs="仿宋"/>
          <w:b/>
          <w:bCs/>
          <w:color w:val="auto"/>
          <w:sz w:val="44"/>
          <w:szCs w:val="44"/>
          <w:highlight w:val="none"/>
        </w:rPr>
        <w:t>比选程序及方法、评审标准、无效响应和采购终止</w:t>
      </w:r>
      <w:bookmarkEnd w:id="94"/>
      <w:bookmarkStart w:id="95" w:name="_Toc15748"/>
      <w:bookmarkStart w:id="96" w:name="_Toc31179"/>
      <w:bookmarkStart w:id="97" w:name="_Toc38532863"/>
      <w:bookmarkStart w:id="98" w:name="_Toc27162"/>
      <w:bookmarkStart w:id="99" w:name="_Toc16155"/>
      <w:bookmarkStart w:id="100" w:name="_Toc77769779"/>
    </w:p>
    <w:p w14:paraId="6A694C05">
      <w:pPr>
        <w:pStyle w:val="3"/>
        <w:pageBreakBefore w:val="0"/>
        <w:widowControl w:val="0"/>
        <w:kinsoku/>
        <w:wordWrap/>
        <w:overflowPunct/>
        <w:topLinePunct w:val="0"/>
        <w:autoSpaceDE/>
        <w:autoSpaceDN/>
        <w:bidi w:val="0"/>
        <w:spacing w:line="400" w:lineRule="exact"/>
        <w:ind w:firstLine="482" w:firstLineChars="200"/>
        <w:textAlignment w:val="auto"/>
        <w:rPr>
          <w:rFonts w:hint="eastAsia" w:ascii="仿宋" w:hAnsi="仿宋" w:eastAsia="仿宋" w:cs="仿宋"/>
          <w:b/>
          <w:bCs/>
          <w:color w:val="auto"/>
          <w:sz w:val="24"/>
          <w:szCs w:val="24"/>
          <w:highlight w:val="none"/>
          <w:lang w:val="en-US" w:eastAsia="zh-CN"/>
        </w:rPr>
      </w:pPr>
      <w:bookmarkStart w:id="101" w:name="_Toc32637"/>
      <w:bookmarkStart w:id="102" w:name="_Toc26303"/>
      <w:bookmarkStart w:id="103" w:name="_Toc19071"/>
      <w:r>
        <w:rPr>
          <w:rFonts w:hint="eastAsia" w:ascii="仿宋" w:hAnsi="仿宋" w:eastAsia="仿宋" w:cs="仿宋"/>
          <w:b/>
          <w:bCs/>
          <w:color w:val="auto"/>
          <w:sz w:val="24"/>
          <w:szCs w:val="24"/>
          <w:highlight w:val="none"/>
          <w:lang w:val="en-US" w:eastAsia="zh-CN"/>
        </w:rPr>
        <w:t>一、比选程序及方法</w:t>
      </w:r>
      <w:bookmarkEnd w:id="101"/>
      <w:bookmarkEnd w:id="102"/>
      <w:bookmarkEnd w:id="103"/>
    </w:p>
    <w:p w14:paraId="0365D1AE">
      <w:pPr>
        <w:pageBreakBefore w:val="0"/>
        <w:kinsoku/>
        <w:wordWrap/>
        <w:overflowPunct/>
        <w:topLinePunct w:val="0"/>
        <w:autoSpaceDE/>
        <w:autoSpaceDN/>
        <w:bidi w:val="0"/>
        <w:snapToGrid w:val="0"/>
        <w:spacing w:line="400" w:lineRule="exact"/>
        <w:ind w:leftChars="0" w:firstLine="480" w:firstLineChars="200"/>
        <w:textAlignment w:val="auto"/>
        <w:rPr>
          <w:rFonts w:hint="eastAsia" w:ascii="仿宋" w:hAnsi="仿宋" w:eastAsia="仿宋" w:cs="仿宋"/>
          <w:kern w:val="0"/>
          <w:sz w:val="24"/>
          <w:szCs w:val="24"/>
        </w:rPr>
      </w:pPr>
      <w:r>
        <w:rPr>
          <w:rFonts w:hint="eastAsia" w:ascii="仿宋" w:hAnsi="仿宋" w:eastAsia="仿宋" w:cs="仿宋"/>
          <w:kern w:val="0"/>
          <w:sz w:val="24"/>
          <w:szCs w:val="24"/>
        </w:rPr>
        <w:t>（一）比选按竞争性比选文件规定的时间和地点进行，</w:t>
      </w:r>
      <w:r>
        <w:rPr>
          <w:rFonts w:hint="eastAsia" w:ascii="仿宋" w:hAnsi="仿宋" w:eastAsia="仿宋" w:cs="仿宋"/>
          <w:kern w:val="0"/>
          <w:sz w:val="24"/>
          <w:szCs w:val="24"/>
          <w:lang w:val="en-US" w:eastAsia="zh-CN"/>
        </w:rPr>
        <w:t>供应商</w:t>
      </w:r>
      <w:r>
        <w:rPr>
          <w:rFonts w:hint="eastAsia" w:ascii="仿宋" w:hAnsi="仿宋" w:eastAsia="仿宋" w:cs="仿宋"/>
          <w:kern w:val="0"/>
          <w:sz w:val="24"/>
          <w:szCs w:val="24"/>
        </w:rPr>
        <w:t>须有法定代表人或其授权代表参加并签到。由本项目依法组建的评审小组分别与各</w:t>
      </w:r>
      <w:r>
        <w:rPr>
          <w:rFonts w:hint="eastAsia" w:ascii="仿宋" w:hAnsi="仿宋" w:eastAsia="仿宋" w:cs="仿宋"/>
          <w:kern w:val="0"/>
          <w:sz w:val="24"/>
          <w:szCs w:val="24"/>
          <w:lang w:val="en-US" w:eastAsia="zh-CN"/>
        </w:rPr>
        <w:t>供应商</w:t>
      </w:r>
      <w:r>
        <w:rPr>
          <w:rFonts w:hint="eastAsia" w:ascii="仿宋" w:hAnsi="仿宋" w:eastAsia="仿宋" w:cs="仿宋"/>
          <w:kern w:val="0"/>
          <w:sz w:val="24"/>
          <w:szCs w:val="24"/>
        </w:rPr>
        <w:t>进行比选。</w:t>
      </w:r>
    </w:p>
    <w:p w14:paraId="03EAE711">
      <w:pPr>
        <w:pageBreakBefore w:val="0"/>
        <w:kinsoku/>
        <w:wordWrap/>
        <w:overflowPunct/>
        <w:topLinePunct w:val="0"/>
        <w:autoSpaceDE/>
        <w:autoSpaceDN/>
        <w:bidi w:val="0"/>
        <w:snapToGrid w:val="0"/>
        <w:spacing w:line="400" w:lineRule="exact"/>
        <w:ind w:leftChars="0" w:firstLine="480" w:firstLineChars="200"/>
        <w:textAlignment w:val="auto"/>
        <w:rPr>
          <w:rFonts w:hint="eastAsia" w:ascii="仿宋" w:hAnsi="仿宋" w:eastAsia="仿宋" w:cs="仿宋"/>
          <w:kern w:val="0"/>
          <w:sz w:val="24"/>
          <w:szCs w:val="24"/>
        </w:rPr>
      </w:pPr>
      <w:r>
        <w:rPr>
          <w:rFonts w:hint="eastAsia" w:ascii="仿宋" w:hAnsi="仿宋" w:eastAsia="仿宋" w:cs="仿宋"/>
          <w:kern w:val="0"/>
          <w:sz w:val="24"/>
          <w:szCs w:val="24"/>
        </w:rPr>
        <w:t>（二）评审小组对各</w:t>
      </w:r>
      <w:r>
        <w:rPr>
          <w:rFonts w:hint="eastAsia" w:ascii="仿宋" w:hAnsi="仿宋" w:eastAsia="仿宋" w:cs="仿宋"/>
          <w:kern w:val="0"/>
          <w:sz w:val="24"/>
          <w:szCs w:val="24"/>
          <w:lang w:val="en-US" w:eastAsia="zh-CN"/>
        </w:rPr>
        <w:t>供应商</w:t>
      </w:r>
      <w:r>
        <w:rPr>
          <w:rFonts w:hint="eastAsia" w:ascii="仿宋" w:hAnsi="仿宋" w:eastAsia="仿宋" w:cs="仿宋"/>
          <w:kern w:val="0"/>
          <w:sz w:val="24"/>
          <w:szCs w:val="24"/>
        </w:rPr>
        <w:t>的资格条件、</w:t>
      </w:r>
      <w:r>
        <w:rPr>
          <w:rFonts w:hint="eastAsia" w:ascii="仿宋" w:hAnsi="仿宋" w:eastAsia="仿宋" w:cs="仿宋"/>
          <w:kern w:val="0"/>
          <w:sz w:val="24"/>
          <w:szCs w:val="24"/>
          <w:lang w:eastAsia="zh-CN"/>
        </w:rPr>
        <w:t>响应文件</w:t>
      </w:r>
      <w:r>
        <w:rPr>
          <w:rFonts w:hint="eastAsia" w:ascii="仿宋" w:hAnsi="仿宋" w:eastAsia="仿宋" w:cs="仿宋"/>
          <w:kern w:val="0"/>
          <w:sz w:val="24"/>
          <w:szCs w:val="24"/>
        </w:rPr>
        <w:t>的有效性、完整性和响应程度进行审查。各</w:t>
      </w:r>
      <w:r>
        <w:rPr>
          <w:rFonts w:hint="eastAsia" w:ascii="仿宋" w:hAnsi="仿宋" w:eastAsia="仿宋" w:cs="仿宋"/>
          <w:kern w:val="0"/>
          <w:sz w:val="24"/>
          <w:szCs w:val="24"/>
          <w:lang w:val="en-US" w:eastAsia="zh-CN"/>
        </w:rPr>
        <w:t>供应商</w:t>
      </w:r>
      <w:r>
        <w:rPr>
          <w:rFonts w:hint="eastAsia" w:ascii="仿宋" w:hAnsi="仿宋" w:eastAsia="仿宋" w:cs="仿宋"/>
          <w:kern w:val="0"/>
          <w:sz w:val="24"/>
          <w:szCs w:val="24"/>
        </w:rPr>
        <w:t>只有在完全符合要求的前提下，才能参与正式比选。</w:t>
      </w:r>
    </w:p>
    <w:p w14:paraId="377EE4B8">
      <w:pPr>
        <w:pageBreakBefore w:val="0"/>
        <w:kinsoku/>
        <w:wordWrap/>
        <w:overflowPunct/>
        <w:topLinePunct w:val="0"/>
        <w:autoSpaceDE/>
        <w:autoSpaceDN/>
        <w:bidi w:val="0"/>
        <w:snapToGrid w:val="0"/>
        <w:spacing w:line="400" w:lineRule="exact"/>
        <w:ind w:leftChars="0" w:firstLine="480" w:firstLineChars="200"/>
        <w:textAlignment w:val="auto"/>
        <w:rPr>
          <w:rFonts w:hint="eastAsia" w:ascii="仿宋" w:hAnsi="仿宋" w:eastAsia="仿宋" w:cs="仿宋"/>
          <w:kern w:val="0"/>
          <w:sz w:val="24"/>
          <w:szCs w:val="24"/>
        </w:rPr>
      </w:pPr>
      <w:r>
        <w:rPr>
          <w:rFonts w:hint="eastAsia" w:ascii="仿宋" w:hAnsi="仿宋" w:eastAsia="仿宋" w:cs="仿宋"/>
          <w:kern w:val="0"/>
          <w:sz w:val="24"/>
          <w:szCs w:val="24"/>
        </w:rPr>
        <w:t>1.资格性检查。依据法律法规和竞争性比选文件的规定，对</w:t>
      </w:r>
      <w:r>
        <w:rPr>
          <w:rFonts w:hint="eastAsia" w:ascii="仿宋" w:hAnsi="仿宋" w:eastAsia="仿宋" w:cs="仿宋"/>
          <w:kern w:val="0"/>
          <w:sz w:val="24"/>
          <w:szCs w:val="24"/>
          <w:lang w:eastAsia="zh-CN"/>
        </w:rPr>
        <w:t>响应文件</w:t>
      </w:r>
      <w:r>
        <w:rPr>
          <w:rFonts w:hint="eastAsia" w:ascii="仿宋" w:hAnsi="仿宋" w:eastAsia="仿宋" w:cs="仿宋"/>
          <w:kern w:val="0"/>
          <w:sz w:val="24"/>
          <w:szCs w:val="24"/>
        </w:rPr>
        <w:t>中的资格证明、等进行审查，以确定</w:t>
      </w:r>
      <w:r>
        <w:rPr>
          <w:rFonts w:hint="eastAsia" w:ascii="仿宋" w:hAnsi="仿宋" w:eastAsia="仿宋" w:cs="仿宋"/>
          <w:kern w:val="0"/>
          <w:sz w:val="24"/>
          <w:szCs w:val="24"/>
          <w:lang w:val="en-US" w:eastAsia="zh-CN"/>
        </w:rPr>
        <w:t>供应商</w:t>
      </w:r>
      <w:r>
        <w:rPr>
          <w:rFonts w:hint="eastAsia" w:ascii="仿宋" w:hAnsi="仿宋" w:eastAsia="仿宋" w:cs="仿宋"/>
          <w:kern w:val="0"/>
          <w:sz w:val="24"/>
          <w:szCs w:val="24"/>
        </w:rPr>
        <w:t>是否具备比选资格。资格性检查资料表如下：</w:t>
      </w:r>
    </w:p>
    <w:tbl>
      <w:tblPr>
        <w:tblStyle w:val="24"/>
        <w:tblW w:w="96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9"/>
        <w:gridCol w:w="805"/>
        <w:gridCol w:w="2850"/>
        <w:gridCol w:w="4984"/>
      </w:tblGrid>
      <w:tr w14:paraId="4772A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9" w:type="dxa"/>
            <w:tcBorders>
              <w:top w:val="single" w:color="auto" w:sz="4" w:space="0"/>
              <w:left w:val="single" w:color="auto" w:sz="4" w:space="0"/>
              <w:bottom w:val="single" w:color="auto" w:sz="4" w:space="0"/>
              <w:right w:val="single" w:color="auto" w:sz="4" w:space="0"/>
            </w:tcBorders>
            <w:vAlign w:val="center"/>
          </w:tcPr>
          <w:p w14:paraId="18D87A70">
            <w:pPr>
              <w:pageBreakBefore w:val="0"/>
              <w:kinsoku/>
              <w:wordWrap/>
              <w:overflowPunct/>
              <w:topLinePunct w:val="0"/>
              <w:autoSpaceDE/>
              <w:autoSpaceDN/>
              <w:bidi w:val="0"/>
              <w:spacing w:line="400" w:lineRule="exact"/>
              <w:ind w:leftChars="0"/>
              <w:jc w:val="center"/>
              <w:textAlignment w:val="auto"/>
              <w:rPr>
                <w:rFonts w:hint="eastAsia" w:ascii="仿宋" w:hAnsi="仿宋" w:eastAsia="仿宋" w:cs="仿宋"/>
                <w:b/>
                <w:kern w:val="0"/>
                <w:sz w:val="24"/>
                <w:szCs w:val="24"/>
              </w:rPr>
            </w:pPr>
            <w:r>
              <w:rPr>
                <w:rFonts w:hint="eastAsia" w:ascii="仿宋" w:hAnsi="仿宋" w:eastAsia="仿宋" w:cs="仿宋"/>
                <w:b/>
                <w:kern w:val="0"/>
                <w:sz w:val="24"/>
                <w:szCs w:val="24"/>
              </w:rPr>
              <w:t>序号</w:t>
            </w:r>
          </w:p>
        </w:tc>
        <w:tc>
          <w:tcPr>
            <w:tcW w:w="3655" w:type="dxa"/>
            <w:gridSpan w:val="2"/>
            <w:tcBorders>
              <w:top w:val="single" w:color="auto" w:sz="4" w:space="0"/>
              <w:left w:val="single" w:color="auto" w:sz="4" w:space="0"/>
              <w:bottom w:val="single" w:color="auto" w:sz="4" w:space="0"/>
              <w:right w:val="single" w:color="auto" w:sz="4" w:space="0"/>
            </w:tcBorders>
            <w:vAlign w:val="center"/>
          </w:tcPr>
          <w:p w14:paraId="78CFB13D">
            <w:pPr>
              <w:pageBreakBefore w:val="0"/>
              <w:kinsoku/>
              <w:wordWrap/>
              <w:overflowPunct/>
              <w:topLinePunct w:val="0"/>
              <w:autoSpaceDE/>
              <w:autoSpaceDN/>
              <w:bidi w:val="0"/>
              <w:spacing w:line="400" w:lineRule="exact"/>
              <w:ind w:leftChars="0"/>
              <w:jc w:val="center"/>
              <w:textAlignment w:val="auto"/>
              <w:rPr>
                <w:rFonts w:hint="eastAsia" w:ascii="仿宋" w:hAnsi="仿宋" w:eastAsia="仿宋" w:cs="仿宋"/>
                <w:b/>
                <w:kern w:val="0"/>
                <w:sz w:val="24"/>
                <w:szCs w:val="24"/>
              </w:rPr>
            </w:pPr>
            <w:r>
              <w:rPr>
                <w:rFonts w:hint="eastAsia" w:ascii="仿宋" w:hAnsi="仿宋" w:eastAsia="仿宋" w:cs="仿宋"/>
                <w:b/>
                <w:kern w:val="0"/>
                <w:sz w:val="24"/>
                <w:szCs w:val="24"/>
              </w:rPr>
              <w:t>检查因素</w:t>
            </w:r>
          </w:p>
        </w:tc>
        <w:tc>
          <w:tcPr>
            <w:tcW w:w="4984" w:type="dxa"/>
            <w:tcBorders>
              <w:top w:val="single" w:color="auto" w:sz="4" w:space="0"/>
              <w:left w:val="single" w:color="auto" w:sz="4" w:space="0"/>
              <w:bottom w:val="single" w:color="auto" w:sz="4" w:space="0"/>
              <w:right w:val="single" w:color="auto" w:sz="4" w:space="0"/>
            </w:tcBorders>
            <w:vAlign w:val="center"/>
          </w:tcPr>
          <w:p w14:paraId="2B6E415C">
            <w:pPr>
              <w:pageBreakBefore w:val="0"/>
              <w:kinsoku/>
              <w:wordWrap/>
              <w:overflowPunct/>
              <w:topLinePunct w:val="0"/>
              <w:autoSpaceDE/>
              <w:autoSpaceDN/>
              <w:bidi w:val="0"/>
              <w:spacing w:line="400" w:lineRule="exact"/>
              <w:ind w:leftChars="0"/>
              <w:jc w:val="center"/>
              <w:textAlignment w:val="auto"/>
              <w:rPr>
                <w:rFonts w:hint="eastAsia" w:ascii="仿宋" w:hAnsi="仿宋" w:eastAsia="仿宋" w:cs="仿宋"/>
                <w:b/>
                <w:kern w:val="0"/>
                <w:sz w:val="24"/>
                <w:szCs w:val="24"/>
              </w:rPr>
            </w:pPr>
            <w:r>
              <w:rPr>
                <w:rFonts w:hint="eastAsia" w:ascii="仿宋" w:hAnsi="仿宋" w:eastAsia="仿宋" w:cs="仿宋"/>
                <w:b/>
                <w:kern w:val="0"/>
                <w:sz w:val="24"/>
                <w:szCs w:val="24"/>
              </w:rPr>
              <w:t>检查内容</w:t>
            </w:r>
          </w:p>
        </w:tc>
      </w:tr>
      <w:tr w14:paraId="2D532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9" w:type="dxa"/>
            <w:vMerge w:val="restart"/>
            <w:vAlign w:val="center"/>
          </w:tcPr>
          <w:p w14:paraId="7FE699D0">
            <w:pPr>
              <w:pageBreakBefore w:val="0"/>
              <w:kinsoku/>
              <w:wordWrap/>
              <w:overflowPunct/>
              <w:topLinePunct w:val="0"/>
              <w:autoSpaceDE/>
              <w:autoSpaceDN/>
              <w:bidi w:val="0"/>
              <w:spacing w:line="400" w:lineRule="exact"/>
              <w:ind w:leftChars="0"/>
              <w:jc w:val="center"/>
              <w:textAlignment w:val="auto"/>
              <w:rPr>
                <w:rFonts w:hint="eastAsia" w:ascii="仿宋" w:hAnsi="仿宋" w:eastAsia="仿宋" w:cs="仿宋"/>
                <w:sz w:val="24"/>
                <w:szCs w:val="24"/>
              </w:rPr>
            </w:pPr>
            <w:r>
              <w:rPr>
                <w:rFonts w:hint="eastAsia" w:ascii="仿宋" w:hAnsi="仿宋" w:eastAsia="仿宋" w:cs="仿宋"/>
                <w:sz w:val="24"/>
                <w:szCs w:val="24"/>
              </w:rPr>
              <w:t>（一）</w:t>
            </w:r>
          </w:p>
        </w:tc>
        <w:tc>
          <w:tcPr>
            <w:tcW w:w="805" w:type="dxa"/>
            <w:vMerge w:val="restart"/>
            <w:vAlign w:val="center"/>
          </w:tcPr>
          <w:p w14:paraId="4F80D325">
            <w:pPr>
              <w:pageBreakBefore w:val="0"/>
              <w:kinsoku/>
              <w:wordWrap/>
              <w:overflowPunct/>
              <w:topLinePunct w:val="0"/>
              <w:autoSpaceDE/>
              <w:autoSpaceDN/>
              <w:bidi w:val="0"/>
              <w:spacing w:line="400" w:lineRule="exact"/>
              <w:ind w:leftChars="0"/>
              <w:textAlignment w:val="auto"/>
              <w:rPr>
                <w:rFonts w:hint="eastAsia" w:ascii="仿宋" w:hAnsi="仿宋" w:eastAsia="仿宋" w:cs="仿宋"/>
                <w:sz w:val="24"/>
                <w:szCs w:val="24"/>
                <w:lang w:val="zh-CN"/>
              </w:rPr>
            </w:pPr>
            <w:r>
              <w:rPr>
                <w:rFonts w:hint="eastAsia" w:ascii="仿宋" w:hAnsi="仿宋" w:eastAsia="仿宋" w:cs="仿宋"/>
                <w:sz w:val="24"/>
                <w:szCs w:val="24"/>
                <w:lang w:val="zh-CN"/>
              </w:rPr>
              <w:t>《中华人民共和国政府采购法》第二十二条规定</w:t>
            </w:r>
          </w:p>
        </w:tc>
        <w:tc>
          <w:tcPr>
            <w:tcW w:w="2850" w:type="dxa"/>
            <w:vAlign w:val="center"/>
          </w:tcPr>
          <w:p w14:paraId="220E4AF0">
            <w:pPr>
              <w:pageBreakBefore w:val="0"/>
              <w:kinsoku/>
              <w:wordWrap/>
              <w:overflowPunct/>
              <w:topLinePunct w:val="0"/>
              <w:autoSpaceDE/>
              <w:autoSpaceDN/>
              <w:bidi w:val="0"/>
              <w:spacing w:line="400" w:lineRule="exact"/>
              <w:ind w:leftChars="0"/>
              <w:textAlignment w:val="auto"/>
              <w:rPr>
                <w:rFonts w:hint="eastAsia" w:ascii="仿宋" w:hAnsi="仿宋" w:eastAsia="仿宋" w:cs="仿宋"/>
                <w:sz w:val="24"/>
                <w:szCs w:val="24"/>
              </w:rPr>
            </w:pPr>
            <w:r>
              <w:rPr>
                <w:rFonts w:hint="eastAsia" w:ascii="仿宋" w:hAnsi="仿宋" w:eastAsia="仿宋" w:cs="仿宋"/>
                <w:sz w:val="24"/>
                <w:szCs w:val="24"/>
              </w:rPr>
              <w:t>1.具有独立承担民事责任的能力</w:t>
            </w:r>
          </w:p>
        </w:tc>
        <w:tc>
          <w:tcPr>
            <w:tcW w:w="4984" w:type="dxa"/>
            <w:vAlign w:val="center"/>
          </w:tcPr>
          <w:p w14:paraId="29E1CBB1">
            <w:pPr>
              <w:pageBreakBefore w:val="0"/>
              <w:kinsoku/>
              <w:wordWrap/>
              <w:overflowPunct/>
              <w:topLinePunct w:val="0"/>
              <w:autoSpaceDE/>
              <w:autoSpaceDN/>
              <w:bidi w:val="0"/>
              <w:spacing w:line="400" w:lineRule="exact"/>
              <w:ind w:leftChars="0"/>
              <w:textAlignment w:val="auto"/>
              <w:rPr>
                <w:rFonts w:hint="eastAsia" w:ascii="仿宋" w:hAnsi="仿宋" w:eastAsia="仿宋" w:cs="仿宋"/>
                <w:sz w:val="24"/>
                <w:szCs w:val="24"/>
              </w:rPr>
            </w:pPr>
            <w:r>
              <w:rPr>
                <w:rFonts w:hint="eastAsia" w:ascii="仿宋" w:hAnsi="仿宋" w:eastAsia="仿宋" w:cs="仿宋"/>
                <w:sz w:val="24"/>
                <w:szCs w:val="24"/>
              </w:rPr>
              <w:t>1.</w:t>
            </w:r>
            <w:r>
              <w:rPr>
                <w:rFonts w:hint="eastAsia" w:ascii="仿宋" w:hAnsi="仿宋" w:eastAsia="仿宋" w:cs="仿宋"/>
                <w:sz w:val="24"/>
                <w:szCs w:val="24"/>
                <w:lang w:val="en-US" w:eastAsia="zh-CN"/>
              </w:rPr>
              <w:t>供应商</w:t>
            </w:r>
            <w:r>
              <w:rPr>
                <w:rFonts w:hint="eastAsia" w:ascii="仿宋" w:hAnsi="仿宋" w:eastAsia="仿宋" w:cs="仿宋"/>
                <w:sz w:val="24"/>
                <w:szCs w:val="24"/>
              </w:rPr>
              <w:t xml:space="preserve">法人营业执照（副本）或事业单位法人证书（副本）或个体工商户营业执照或有效的自然人身份证明或社会团体法人登记证书（提供复印件）。 </w:t>
            </w:r>
          </w:p>
          <w:p w14:paraId="52781AD6">
            <w:pPr>
              <w:pageBreakBefore w:val="0"/>
              <w:kinsoku/>
              <w:wordWrap/>
              <w:overflowPunct/>
              <w:topLinePunct w:val="0"/>
              <w:autoSpaceDE/>
              <w:autoSpaceDN/>
              <w:bidi w:val="0"/>
              <w:spacing w:line="400" w:lineRule="exact"/>
              <w:ind w:leftChars="0"/>
              <w:textAlignment w:val="auto"/>
              <w:rPr>
                <w:rFonts w:hint="eastAsia" w:ascii="仿宋" w:hAnsi="仿宋" w:eastAsia="仿宋" w:cs="仿宋"/>
                <w:sz w:val="24"/>
                <w:szCs w:val="24"/>
              </w:rPr>
            </w:pPr>
            <w:r>
              <w:rPr>
                <w:rFonts w:hint="eastAsia" w:ascii="仿宋" w:hAnsi="仿宋" w:eastAsia="仿宋" w:cs="仿宋"/>
                <w:sz w:val="24"/>
                <w:szCs w:val="24"/>
              </w:rPr>
              <w:t>2.</w:t>
            </w:r>
            <w:r>
              <w:rPr>
                <w:rFonts w:hint="eastAsia" w:ascii="仿宋" w:hAnsi="仿宋" w:eastAsia="仿宋" w:cs="仿宋"/>
                <w:sz w:val="24"/>
                <w:szCs w:val="24"/>
                <w:lang w:val="en-US" w:eastAsia="zh-CN"/>
              </w:rPr>
              <w:t>供应商</w:t>
            </w:r>
            <w:r>
              <w:rPr>
                <w:rFonts w:hint="eastAsia" w:ascii="仿宋" w:hAnsi="仿宋" w:eastAsia="仿宋" w:cs="仿宋"/>
                <w:sz w:val="24"/>
                <w:szCs w:val="24"/>
              </w:rPr>
              <w:t>法定代表人身份证明和法定代表人授权代表委托书</w:t>
            </w:r>
            <w:r>
              <w:rPr>
                <w:rFonts w:hint="eastAsia" w:ascii="仿宋" w:hAnsi="仿宋" w:eastAsia="仿宋" w:cs="仿宋"/>
                <w:sz w:val="24"/>
                <w:szCs w:val="24"/>
                <w:highlight w:val="none"/>
                <w:lang w:val="en-US" w:eastAsia="zh-CN"/>
              </w:rPr>
              <w:t>。</w:t>
            </w:r>
          </w:p>
        </w:tc>
      </w:tr>
      <w:tr w14:paraId="2B2BA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9" w:type="dxa"/>
            <w:vMerge w:val="continue"/>
            <w:vAlign w:val="center"/>
          </w:tcPr>
          <w:p w14:paraId="01FCEF42">
            <w:pPr>
              <w:pageBreakBefore w:val="0"/>
              <w:kinsoku/>
              <w:wordWrap/>
              <w:overflowPunct/>
              <w:topLinePunct w:val="0"/>
              <w:autoSpaceDE/>
              <w:autoSpaceDN/>
              <w:bidi w:val="0"/>
              <w:spacing w:line="400" w:lineRule="exact"/>
              <w:ind w:leftChars="0"/>
              <w:jc w:val="center"/>
              <w:textAlignment w:val="auto"/>
              <w:rPr>
                <w:rFonts w:hint="eastAsia" w:ascii="仿宋" w:hAnsi="仿宋" w:eastAsia="仿宋" w:cs="仿宋"/>
                <w:sz w:val="24"/>
                <w:szCs w:val="24"/>
              </w:rPr>
            </w:pPr>
          </w:p>
        </w:tc>
        <w:tc>
          <w:tcPr>
            <w:tcW w:w="805" w:type="dxa"/>
            <w:vMerge w:val="continue"/>
            <w:vAlign w:val="center"/>
          </w:tcPr>
          <w:p w14:paraId="1D492233">
            <w:pPr>
              <w:pageBreakBefore w:val="0"/>
              <w:kinsoku/>
              <w:wordWrap/>
              <w:overflowPunct/>
              <w:topLinePunct w:val="0"/>
              <w:autoSpaceDE/>
              <w:autoSpaceDN/>
              <w:bidi w:val="0"/>
              <w:spacing w:line="400" w:lineRule="exact"/>
              <w:ind w:leftChars="0"/>
              <w:textAlignment w:val="auto"/>
              <w:rPr>
                <w:rFonts w:hint="eastAsia" w:ascii="仿宋" w:hAnsi="仿宋" w:eastAsia="仿宋" w:cs="仿宋"/>
                <w:sz w:val="24"/>
                <w:szCs w:val="24"/>
                <w:lang w:val="zh-CN"/>
              </w:rPr>
            </w:pPr>
          </w:p>
        </w:tc>
        <w:tc>
          <w:tcPr>
            <w:tcW w:w="2850" w:type="dxa"/>
            <w:vAlign w:val="center"/>
          </w:tcPr>
          <w:p w14:paraId="640C85BB">
            <w:pPr>
              <w:pageBreakBefore w:val="0"/>
              <w:kinsoku/>
              <w:wordWrap/>
              <w:overflowPunct/>
              <w:topLinePunct w:val="0"/>
              <w:autoSpaceDE/>
              <w:autoSpaceDN/>
              <w:bidi w:val="0"/>
              <w:spacing w:line="400" w:lineRule="exact"/>
              <w:ind w:leftChars="0"/>
              <w:textAlignment w:val="auto"/>
              <w:rPr>
                <w:rFonts w:hint="eastAsia" w:ascii="仿宋" w:hAnsi="仿宋" w:eastAsia="仿宋" w:cs="仿宋"/>
                <w:sz w:val="24"/>
                <w:szCs w:val="24"/>
              </w:rPr>
            </w:pPr>
            <w:r>
              <w:rPr>
                <w:rFonts w:hint="eastAsia" w:ascii="仿宋" w:hAnsi="仿宋" w:eastAsia="仿宋" w:cs="仿宋"/>
                <w:sz w:val="24"/>
                <w:szCs w:val="24"/>
                <w:lang w:val="zh-CN"/>
              </w:rPr>
              <w:t>2.</w:t>
            </w:r>
            <w:r>
              <w:rPr>
                <w:rFonts w:hint="eastAsia" w:ascii="仿宋" w:hAnsi="仿宋" w:eastAsia="仿宋" w:cs="仿宋"/>
                <w:sz w:val="24"/>
                <w:szCs w:val="24"/>
              </w:rPr>
              <w:t>具有良好的商业信誉和健全的财务会计制度</w:t>
            </w:r>
          </w:p>
        </w:tc>
        <w:tc>
          <w:tcPr>
            <w:tcW w:w="4984" w:type="dxa"/>
            <w:vMerge w:val="restart"/>
            <w:vAlign w:val="center"/>
          </w:tcPr>
          <w:p w14:paraId="49B3EB20">
            <w:pPr>
              <w:pageBreakBefore w:val="0"/>
              <w:kinsoku/>
              <w:wordWrap/>
              <w:overflowPunct/>
              <w:topLinePunct w:val="0"/>
              <w:autoSpaceDE/>
              <w:autoSpaceDN/>
              <w:bidi w:val="0"/>
              <w:spacing w:line="400" w:lineRule="exact"/>
              <w:ind w:leftChars="0"/>
              <w:textAlignment w:val="auto"/>
              <w:rPr>
                <w:rFonts w:hint="eastAsia" w:ascii="仿宋" w:hAnsi="仿宋" w:eastAsia="仿宋" w:cs="仿宋"/>
                <w:b/>
                <w:sz w:val="24"/>
                <w:szCs w:val="24"/>
              </w:rPr>
            </w:pPr>
            <w:r>
              <w:rPr>
                <w:rFonts w:hint="eastAsia" w:ascii="仿宋" w:hAnsi="仿宋" w:eastAsia="仿宋" w:cs="仿宋"/>
                <w:sz w:val="24"/>
                <w:szCs w:val="24"/>
                <w:lang w:val="en-US" w:eastAsia="zh-CN"/>
              </w:rPr>
              <w:t>供应商</w:t>
            </w:r>
            <w:r>
              <w:rPr>
                <w:rFonts w:hint="eastAsia" w:ascii="仿宋" w:hAnsi="仿宋" w:eastAsia="仿宋" w:cs="仿宋"/>
                <w:sz w:val="24"/>
                <w:szCs w:val="24"/>
              </w:rPr>
              <w:t>提供“基本资格条件承诺函”（格式详见第七篇）</w:t>
            </w:r>
          </w:p>
        </w:tc>
      </w:tr>
      <w:tr w14:paraId="126C2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9" w:type="dxa"/>
            <w:vMerge w:val="continue"/>
            <w:vAlign w:val="center"/>
          </w:tcPr>
          <w:p w14:paraId="7533B7E6">
            <w:pPr>
              <w:pageBreakBefore w:val="0"/>
              <w:kinsoku/>
              <w:wordWrap/>
              <w:overflowPunct/>
              <w:topLinePunct w:val="0"/>
              <w:autoSpaceDE/>
              <w:autoSpaceDN/>
              <w:bidi w:val="0"/>
              <w:spacing w:line="400" w:lineRule="exact"/>
              <w:ind w:leftChars="0"/>
              <w:jc w:val="center"/>
              <w:textAlignment w:val="auto"/>
              <w:rPr>
                <w:rFonts w:hint="eastAsia" w:ascii="仿宋" w:hAnsi="仿宋" w:eastAsia="仿宋" w:cs="仿宋"/>
                <w:sz w:val="24"/>
                <w:szCs w:val="24"/>
              </w:rPr>
            </w:pPr>
          </w:p>
        </w:tc>
        <w:tc>
          <w:tcPr>
            <w:tcW w:w="805" w:type="dxa"/>
            <w:vMerge w:val="continue"/>
            <w:vAlign w:val="center"/>
          </w:tcPr>
          <w:p w14:paraId="79866091">
            <w:pPr>
              <w:pageBreakBefore w:val="0"/>
              <w:kinsoku/>
              <w:wordWrap/>
              <w:overflowPunct/>
              <w:topLinePunct w:val="0"/>
              <w:autoSpaceDE/>
              <w:autoSpaceDN/>
              <w:bidi w:val="0"/>
              <w:spacing w:line="400" w:lineRule="exact"/>
              <w:ind w:leftChars="0"/>
              <w:textAlignment w:val="auto"/>
              <w:rPr>
                <w:rFonts w:hint="eastAsia" w:ascii="仿宋" w:hAnsi="仿宋" w:eastAsia="仿宋" w:cs="仿宋"/>
                <w:sz w:val="24"/>
                <w:szCs w:val="24"/>
                <w:lang w:val="zh-CN"/>
              </w:rPr>
            </w:pPr>
          </w:p>
        </w:tc>
        <w:tc>
          <w:tcPr>
            <w:tcW w:w="2850" w:type="dxa"/>
            <w:vAlign w:val="center"/>
          </w:tcPr>
          <w:p w14:paraId="409AC61C">
            <w:pPr>
              <w:pageBreakBefore w:val="0"/>
              <w:kinsoku/>
              <w:wordWrap/>
              <w:overflowPunct/>
              <w:topLinePunct w:val="0"/>
              <w:autoSpaceDE/>
              <w:autoSpaceDN/>
              <w:bidi w:val="0"/>
              <w:spacing w:line="400" w:lineRule="exact"/>
              <w:ind w:leftChars="0"/>
              <w:textAlignment w:val="auto"/>
              <w:rPr>
                <w:rFonts w:hint="eastAsia" w:ascii="仿宋" w:hAnsi="仿宋" w:eastAsia="仿宋" w:cs="仿宋"/>
                <w:sz w:val="24"/>
                <w:szCs w:val="24"/>
                <w:lang w:val="zh-CN"/>
              </w:rPr>
            </w:pPr>
            <w:r>
              <w:rPr>
                <w:rFonts w:hint="eastAsia" w:ascii="仿宋" w:hAnsi="仿宋" w:eastAsia="仿宋" w:cs="仿宋"/>
                <w:sz w:val="24"/>
                <w:szCs w:val="24"/>
                <w:lang w:val="zh-CN"/>
              </w:rPr>
              <w:t>3.具有履行合同所必需的设备和专业技术能力</w:t>
            </w:r>
          </w:p>
        </w:tc>
        <w:tc>
          <w:tcPr>
            <w:tcW w:w="4984" w:type="dxa"/>
            <w:vMerge w:val="continue"/>
            <w:vAlign w:val="center"/>
          </w:tcPr>
          <w:p w14:paraId="4DF6F36C">
            <w:pPr>
              <w:pageBreakBefore w:val="0"/>
              <w:kinsoku/>
              <w:wordWrap/>
              <w:overflowPunct/>
              <w:topLinePunct w:val="0"/>
              <w:autoSpaceDE/>
              <w:autoSpaceDN/>
              <w:bidi w:val="0"/>
              <w:spacing w:line="400" w:lineRule="exact"/>
              <w:ind w:leftChars="0"/>
              <w:textAlignment w:val="auto"/>
              <w:rPr>
                <w:rFonts w:hint="eastAsia" w:ascii="仿宋" w:hAnsi="仿宋" w:eastAsia="仿宋" w:cs="仿宋"/>
                <w:sz w:val="24"/>
                <w:szCs w:val="24"/>
              </w:rPr>
            </w:pPr>
          </w:p>
        </w:tc>
      </w:tr>
      <w:tr w14:paraId="40059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9" w:type="dxa"/>
            <w:vMerge w:val="continue"/>
            <w:vAlign w:val="center"/>
          </w:tcPr>
          <w:p w14:paraId="6FD37FD2">
            <w:pPr>
              <w:pageBreakBefore w:val="0"/>
              <w:kinsoku/>
              <w:wordWrap/>
              <w:overflowPunct/>
              <w:topLinePunct w:val="0"/>
              <w:autoSpaceDE/>
              <w:autoSpaceDN/>
              <w:bidi w:val="0"/>
              <w:spacing w:line="400" w:lineRule="exact"/>
              <w:ind w:leftChars="0"/>
              <w:jc w:val="center"/>
              <w:textAlignment w:val="auto"/>
              <w:rPr>
                <w:rFonts w:hint="eastAsia" w:ascii="仿宋" w:hAnsi="仿宋" w:eastAsia="仿宋" w:cs="仿宋"/>
                <w:sz w:val="24"/>
                <w:szCs w:val="24"/>
              </w:rPr>
            </w:pPr>
          </w:p>
        </w:tc>
        <w:tc>
          <w:tcPr>
            <w:tcW w:w="805" w:type="dxa"/>
            <w:vMerge w:val="continue"/>
            <w:vAlign w:val="center"/>
          </w:tcPr>
          <w:p w14:paraId="4D5F209F">
            <w:pPr>
              <w:pageBreakBefore w:val="0"/>
              <w:kinsoku/>
              <w:wordWrap/>
              <w:overflowPunct/>
              <w:topLinePunct w:val="0"/>
              <w:autoSpaceDE/>
              <w:autoSpaceDN/>
              <w:bidi w:val="0"/>
              <w:spacing w:line="400" w:lineRule="exact"/>
              <w:ind w:leftChars="0"/>
              <w:textAlignment w:val="auto"/>
              <w:rPr>
                <w:rFonts w:hint="eastAsia" w:ascii="仿宋" w:hAnsi="仿宋" w:eastAsia="仿宋" w:cs="仿宋"/>
                <w:sz w:val="24"/>
                <w:szCs w:val="24"/>
                <w:lang w:val="zh-CN"/>
              </w:rPr>
            </w:pPr>
          </w:p>
        </w:tc>
        <w:tc>
          <w:tcPr>
            <w:tcW w:w="2850" w:type="dxa"/>
            <w:vAlign w:val="center"/>
          </w:tcPr>
          <w:p w14:paraId="797097C2">
            <w:pPr>
              <w:pageBreakBefore w:val="0"/>
              <w:kinsoku/>
              <w:wordWrap/>
              <w:overflowPunct/>
              <w:topLinePunct w:val="0"/>
              <w:autoSpaceDE/>
              <w:autoSpaceDN/>
              <w:bidi w:val="0"/>
              <w:spacing w:line="400" w:lineRule="exact"/>
              <w:ind w:leftChars="0"/>
              <w:textAlignment w:val="auto"/>
              <w:rPr>
                <w:rFonts w:hint="eastAsia" w:ascii="仿宋" w:hAnsi="仿宋" w:eastAsia="仿宋" w:cs="仿宋"/>
                <w:sz w:val="24"/>
                <w:szCs w:val="24"/>
                <w:lang w:val="zh-CN"/>
              </w:rPr>
            </w:pPr>
            <w:r>
              <w:rPr>
                <w:rFonts w:hint="eastAsia" w:ascii="仿宋" w:hAnsi="仿宋" w:eastAsia="仿宋" w:cs="仿宋"/>
                <w:sz w:val="24"/>
                <w:szCs w:val="24"/>
                <w:lang w:val="zh-CN"/>
              </w:rPr>
              <w:t>4.有依法缴纳税收和社会保障金的良好记录</w:t>
            </w:r>
          </w:p>
        </w:tc>
        <w:tc>
          <w:tcPr>
            <w:tcW w:w="4984" w:type="dxa"/>
            <w:vMerge w:val="continue"/>
            <w:vAlign w:val="center"/>
          </w:tcPr>
          <w:p w14:paraId="230E35F2">
            <w:pPr>
              <w:pageBreakBefore w:val="0"/>
              <w:kinsoku/>
              <w:wordWrap/>
              <w:overflowPunct/>
              <w:topLinePunct w:val="0"/>
              <w:autoSpaceDE/>
              <w:autoSpaceDN/>
              <w:bidi w:val="0"/>
              <w:spacing w:line="400" w:lineRule="exact"/>
              <w:ind w:leftChars="0"/>
              <w:textAlignment w:val="auto"/>
              <w:rPr>
                <w:rFonts w:hint="eastAsia" w:ascii="仿宋" w:hAnsi="仿宋" w:eastAsia="仿宋" w:cs="仿宋"/>
                <w:sz w:val="24"/>
                <w:szCs w:val="24"/>
              </w:rPr>
            </w:pPr>
          </w:p>
        </w:tc>
      </w:tr>
      <w:tr w14:paraId="3BE40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9" w:type="dxa"/>
            <w:vMerge w:val="continue"/>
            <w:vAlign w:val="center"/>
          </w:tcPr>
          <w:p w14:paraId="283B6D9D">
            <w:pPr>
              <w:pageBreakBefore w:val="0"/>
              <w:kinsoku/>
              <w:wordWrap/>
              <w:overflowPunct/>
              <w:topLinePunct w:val="0"/>
              <w:autoSpaceDE/>
              <w:autoSpaceDN/>
              <w:bidi w:val="0"/>
              <w:spacing w:line="400" w:lineRule="exact"/>
              <w:ind w:leftChars="0"/>
              <w:jc w:val="center"/>
              <w:textAlignment w:val="auto"/>
              <w:rPr>
                <w:rFonts w:hint="eastAsia" w:ascii="仿宋" w:hAnsi="仿宋" w:eastAsia="仿宋" w:cs="仿宋"/>
                <w:sz w:val="24"/>
                <w:szCs w:val="24"/>
              </w:rPr>
            </w:pPr>
          </w:p>
        </w:tc>
        <w:tc>
          <w:tcPr>
            <w:tcW w:w="805" w:type="dxa"/>
            <w:vMerge w:val="continue"/>
            <w:vAlign w:val="center"/>
          </w:tcPr>
          <w:p w14:paraId="599EB3C2">
            <w:pPr>
              <w:pageBreakBefore w:val="0"/>
              <w:kinsoku/>
              <w:wordWrap/>
              <w:overflowPunct/>
              <w:topLinePunct w:val="0"/>
              <w:autoSpaceDE/>
              <w:autoSpaceDN/>
              <w:bidi w:val="0"/>
              <w:spacing w:line="400" w:lineRule="exact"/>
              <w:ind w:leftChars="0"/>
              <w:textAlignment w:val="auto"/>
              <w:rPr>
                <w:rFonts w:hint="eastAsia" w:ascii="仿宋" w:hAnsi="仿宋" w:eastAsia="仿宋" w:cs="仿宋"/>
                <w:sz w:val="24"/>
                <w:szCs w:val="24"/>
                <w:lang w:val="zh-CN"/>
              </w:rPr>
            </w:pPr>
          </w:p>
        </w:tc>
        <w:tc>
          <w:tcPr>
            <w:tcW w:w="2850" w:type="dxa"/>
            <w:vAlign w:val="center"/>
          </w:tcPr>
          <w:p w14:paraId="4F2B79ED">
            <w:pPr>
              <w:pageBreakBefore w:val="0"/>
              <w:kinsoku/>
              <w:wordWrap/>
              <w:overflowPunct/>
              <w:topLinePunct w:val="0"/>
              <w:autoSpaceDE/>
              <w:autoSpaceDN/>
              <w:bidi w:val="0"/>
              <w:spacing w:line="400" w:lineRule="exact"/>
              <w:ind w:leftChars="0"/>
              <w:textAlignment w:val="auto"/>
              <w:rPr>
                <w:rFonts w:hint="eastAsia" w:ascii="仿宋" w:hAnsi="仿宋" w:eastAsia="仿宋" w:cs="仿宋"/>
                <w:sz w:val="24"/>
                <w:szCs w:val="24"/>
                <w:lang w:val="zh-CN"/>
              </w:rPr>
            </w:pPr>
            <w:r>
              <w:rPr>
                <w:rFonts w:hint="eastAsia" w:ascii="仿宋" w:hAnsi="仿宋" w:eastAsia="仿宋" w:cs="仿宋"/>
                <w:sz w:val="24"/>
                <w:szCs w:val="24"/>
              </w:rPr>
              <w:t>5.参加政府采购活动前三年内，在经营活动中没有重大违法记录</w:t>
            </w:r>
          </w:p>
        </w:tc>
        <w:tc>
          <w:tcPr>
            <w:tcW w:w="4984" w:type="dxa"/>
            <w:vMerge w:val="continue"/>
            <w:vAlign w:val="center"/>
          </w:tcPr>
          <w:p w14:paraId="1547A4EE">
            <w:pPr>
              <w:pageBreakBefore w:val="0"/>
              <w:kinsoku/>
              <w:wordWrap/>
              <w:overflowPunct/>
              <w:topLinePunct w:val="0"/>
              <w:autoSpaceDE/>
              <w:autoSpaceDN/>
              <w:bidi w:val="0"/>
              <w:spacing w:line="400" w:lineRule="exact"/>
              <w:ind w:leftChars="0"/>
              <w:textAlignment w:val="auto"/>
              <w:rPr>
                <w:rFonts w:hint="eastAsia" w:ascii="仿宋" w:hAnsi="仿宋" w:eastAsia="仿宋" w:cs="仿宋"/>
                <w:b/>
                <w:sz w:val="24"/>
                <w:szCs w:val="24"/>
              </w:rPr>
            </w:pPr>
          </w:p>
        </w:tc>
      </w:tr>
      <w:tr w14:paraId="30CBF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989" w:type="dxa"/>
            <w:vMerge w:val="continue"/>
            <w:vAlign w:val="center"/>
          </w:tcPr>
          <w:p w14:paraId="618E04C2">
            <w:pPr>
              <w:pageBreakBefore w:val="0"/>
              <w:kinsoku/>
              <w:wordWrap/>
              <w:overflowPunct/>
              <w:topLinePunct w:val="0"/>
              <w:autoSpaceDE/>
              <w:autoSpaceDN/>
              <w:bidi w:val="0"/>
              <w:spacing w:line="400" w:lineRule="exact"/>
              <w:ind w:leftChars="0"/>
              <w:jc w:val="center"/>
              <w:textAlignment w:val="auto"/>
              <w:rPr>
                <w:rFonts w:hint="eastAsia" w:ascii="仿宋" w:hAnsi="仿宋" w:eastAsia="仿宋" w:cs="仿宋"/>
                <w:sz w:val="24"/>
                <w:szCs w:val="24"/>
              </w:rPr>
            </w:pPr>
          </w:p>
        </w:tc>
        <w:tc>
          <w:tcPr>
            <w:tcW w:w="805" w:type="dxa"/>
            <w:vMerge w:val="continue"/>
            <w:vAlign w:val="center"/>
          </w:tcPr>
          <w:p w14:paraId="381561F4">
            <w:pPr>
              <w:pageBreakBefore w:val="0"/>
              <w:kinsoku/>
              <w:wordWrap/>
              <w:overflowPunct/>
              <w:topLinePunct w:val="0"/>
              <w:autoSpaceDE/>
              <w:autoSpaceDN/>
              <w:bidi w:val="0"/>
              <w:spacing w:line="400" w:lineRule="exact"/>
              <w:ind w:leftChars="0"/>
              <w:textAlignment w:val="auto"/>
              <w:rPr>
                <w:rFonts w:hint="eastAsia" w:ascii="仿宋" w:hAnsi="仿宋" w:eastAsia="仿宋" w:cs="仿宋"/>
                <w:sz w:val="24"/>
                <w:szCs w:val="24"/>
              </w:rPr>
            </w:pPr>
          </w:p>
        </w:tc>
        <w:tc>
          <w:tcPr>
            <w:tcW w:w="2850" w:type="dxa"/>
            <w:vAlign w:val="center"/>
          </w:tcPr>
          <w:p w14:paraId="756A2726">
            <w:pPr>
              <w:pageBreakBefore w:val="0"/>
              <w:kinsoku/>
              <w:wordWrap/>
              <w:overflowPunct/>
              <w:topLinePunct w:val="0"/>
              <w:autoSpaceDE/>
              <w:autoSpaceDN/>
              <w:bidi w:val="0"/>
              <w:spacing w:line="400" w:lineRule="exact"/>
              <w:ind w:leftChars="0"/>
              <w:textAlignment w:val="auto"/>
              <w:rPr>
                <w:rFonts w:hint="eastAsia" w:ascii="仿宋" w:hAnsi="仿宋" w:eastAsia="仿宋" w:cs="仿宋"/>
                <w:sz w:val="24"/>
                <w:szCs w:val="24"/>
              </w:rPr>
            </w:pPr>
            <w:r>
              <w:rPr>
                <w:rFonts w:hint="eastAsia" w:ascii="仿宋" w:hAnsi="仿宋" w:eastAsia="仿宋" w:cs="仿宋"/>
                <w:sz w:val="24"/>
                <w:szCs w:val="24"/>
              </w:rPr>
              <w:t>6.法律、行政法规规定的其他条件</w:t>
            </w:r>
          </w:p>
        </w:tc>
        <w:tc>
          <w:tcPr>
            <w:tcW w:w="4984" w:type="dxa"/>
            <w:vAlign w:val="center"/>
          </w:tcPr>
          <w:p w14:paraId="3A0546D7">
            <w:pPr>
              <w:pageBreakBefore w:val="0"/>
              <w:kinsoku/>
              <w:wordWrap/>
              <w:overflowPunct/>
              <w:topLinePunct w:val="0"/>
              <w:autoSpaceDE/>
              <w:autoSpaceDN/>
              <w:bidi w:val="0"/>
              <w:spacing w:line="400" w:lineRule="exact"/>
              <w:ind w:leftChars="0"/>
              <w:textAlignment w:val="auto"/>
              <w:rPr>
                <w:rFonts w:hint="eastAsia" w:ascii="仿宋" w:hAnsi="仿宋" w:eastAsia="仿宋" w:cs="仿宋"/>
                <w:sz w:val="24"/>
                <w:szCs w:val="24"/>
              </w:rPr>
            </w:pPr>
          </w:p>
        </w:tc>
      </w:tr>
      <w:tr w14:paraId="1E94E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989" w:type="dxa"/>
            <w:vMerge w:val="continue"/>
            <w:vAlign w:val="center"/>
          </w:tcPr>
          <w:p w14:paraId="23330DED">
            <w:pPr>
              <w:pageBreakBefore w:val="0"/>
              <w:kinsoku/>
              <w:wordWrap/>
              <w:overflowPunct/>
              <w:topLinePunct w:val="0"/>
              <w:autoSpaceDE/>
              <w:autoSpaceDN/>
              <w:bidi w:val="0"/>
              <w:spacing w:line="400" w:lineRule="exact"/>
              <w:ind w:leftChars="0"/>
              <w:jc w:val="center"/>
              <w:textAlignment w:val="auto"/>
              <w:rPr>
                <w:rFonts w:hint="eastAsia" w:ascii="仿宋" w:hAnsi="仿宋" w:eastAsia="仿宋" w:cs="仿宋"/>
                <w:sz w:val="24"/>
                <w:szCs w:val="24"/>
              </w:rPr>
            </w:pPr>
          </w:p>
        </w:tc>
        <w:tc>
          <w:tcPr>
            <w:tcW w:w="805" w:type="dxa"/>
            <w:vMerge w:val="continue"/>
            <w:vAlign w:val="center"/>
          </w:tcPr>
          <w:p w14:paraId="350813A2">
            <w:pPr>
              <w:pageBreakBefore w:val="0"/>
              <w:kinsoku/>
              <w:wordWrap/>
              <w:overflowPunct/>
              <w:topLinePunct w:val="0"/>
              <w:autoSpaceDE/>
              <w:autoSpaceDN/>
              <w:bidi w:val="0"/>
              <w:spacing w:line="400" w:lineRule="exact"/>
              <w:ind w:leftChars="0"/>
              <w:textAlignment w:val="auto"/>
              <w:rPr>
                <w:rFonts w:hint="eastAsia" w:ascii="仿宋" w:hAnsi="仿宋" w:eastAsia="仿宋" w:cs="仿宋"/>
                <w:sz w:val="24"/>
                <w:szCs w:val="24"/>
              </w:rPr>
            </w:pPr>
          </w:p>
        </w:tc>
        <w:tc>
          <w:tcPr>
            <w:tcW w:w="2850" w:type="dxa"/>
            <w:vAlign w:val="center"/>
          </w:tcPr>
          <w:p w14:paraId="43E2276D">
            <w:pPr>
              <w:pageBreakBefore w:val="0"/>
              <w:kinsoku/>
              <w:wordWrap/>
              <w:overflowPunct/>
              <w:topLinePunct w:val="0"/>
              <w:autoSpaceDE/>
              <w:autoSpaceDN/>
              <w:bidi w:val="0"/>
              <w:spacing w:line="400" w:lineRule="exact"/>
              <w:ind w:leftChars="0"/>
              <w:textAlignment w:val="auto"/>
              <w:rPr>
                <w:rFonts w:hint="eastAsia" w:ascii="仿宋" w:hAnsi="仿宋" w:eastAsia="仿宋" w:cs="仿宋"/>
                <w:sz w:val="24"/>
                <w:szCs w:val="24"/>
              </w:rPr>
            </w:pPr>
            <w:r>
              <w:rPr>
                <w:rFonts w:hint="eastAsia" w:ascii="仿宋" w:hAnsi="仿宋" w:eastAsia="仿宋" w:cs="仿宋"/>
                <w:sz w:val="24"/>
                <w:szCs w:val="24"/>
              </w:rPr>
              <w:t>7.本项目的特定资格要求</w:t>
            </w:r>
          </w:p>
        </w:tc>
        <w:tc>
          <w:tcPr>
            <w:tcW w:w="4984" w:type="dxa"/>
            <w:vAlign w:val="center"/>
          </w:tcPr>
          <w:p w14:paraId="72B3E9F7">
            <w:pPr>
              <w:pageBreakBefore w:val="0"/>
              <w:widowControl w:val="0"/>
              <w:kinsoku/>
              <w:wordWrap/>
              <w:overflowPunct/>
              <w:topLinePunct w:val="0"/>
              <w:autoSpaceDE/>
              <w:autoSpaceDN/>
              <w:bidi w:val="0"/>
              <w:spacing w:line="400" w:lineRule="exact"/>
              <w:textAlignment w:val="auto"/>
              <w:outlineLvl w:val="9"/>
              <w:rPr>
                <w:rFonts w:hint="default" w:ascii="仿宋" w:hAnsi="仿宋" w:eastAsia="仿宋" w:cs="仿宋"/>
                <w:sz w:val="24"/>
                <w:szCs w:val="24"/>
                <w:lang w:val="en-US"/>
              </w:rPr>
            </w:pPr>
            <w:r>
              <w:rPr>
                <w:rFonts w:hint="eastAsia" w:ascii="仿宋" w:hAnsi="仿宋" w:eastAsia="仿宋" w:cs="仿宋"/>
                <w:b w:val="0"/>
                <w:bCs/>
                <w:color w:val="auto"/>
                <w:sz w:val="24"/>
                <w:szCs w:val="24"/>
                <w:highlight w:val="none"/>
                <w:lang w:val="en-US" w:eastAsia="zh-CN"/>
              </w:rPr>
              <w:t>按第一篇</w:t>
            </w:r>
            <w:r>
              <w:rPr>
                <w:rFonts w:hint="eastAsia" w:ascii="仿宋" w:hAnsi="仿宋" w:eastAsia="仿宋" w:cs="仿宋"/>
                <w:b w:val="0"/>
                <w:bCs/>
                <w:color w:val="auto"/>
                <w:sz w:val="24"/>
                <w:szCs w:val="24"/>
                <w:highlight w:val="none"/>
              </w:rPr>
              <w:t>三、</w:t>
            </w:r>
            <w:r>
              <w:rPr>
                <w:rFonts w:hint="eastAsia" w:ascii="仿宋" w:hAnsi="仿宋" w:eastAsia="仿宋" w:cs="仿宋"/>
                <w:b w:val="0"/>
                <w:bCs/>
                <w:color w:val="auto"/>
                <w:sz w:val="24"/>
                <w:szCs w:val="24"/>
                <w:highlight w:val="none"/>
                <w:lang w:eastAsia="zh-CN"/>
              </w:rPr>
              <w:t>供应商</w:t>
            </w:r>
            <w:r>
              <w:rPr>
                <w:rFonts w:hint="eastAsia" w:ascii="仿宋" w:hAnsi="仿宋" w:eastAsia="仿宋" w:cs="仿宋"/>
                <w:b w:val="0"/>
                <w:bCs/>
                <w:color w:val="auto"/>
                <w:sz w:val="24"/>
                <w:szCs w:val="24"/>
                <w:highlight w:val="none"/>
              </w:rPr>
              <w:t>资格条件</w:t>
            </w:r>
            <w:r>
              <w:rPr>
                <w:rFonts w:hint="eastAsia" w:ascii="仿宋" w:hAnsi="仿宋" w:eastAsia="仿宋" w:cs="仿宋"/>
                <w:b w:val="0"/>
                <w:bCs/>
                <w:color w:val="auto"/>
                <w:sz w:val="24"/>
                <w:szCs w:val="24"/>
                <w:highlight w:val="none"/>
                <w:lang w:eastAsia="zh-CN"/>
              </w:rPr>
              <w:t>“</w:t>
            </w:r>
            <w:r>
              <w:rPr>
                <w:rFonts w:hint="eastAsia" w:ascii="仿宋" w:hAnsi="仿宋" w:eastAsia="仿宋" w:cs="仿宋"/>
                <w:sz w:val="24"/>
                <w:szCs w:val="24"/>
                <w:highlight w:val="none"/>
              </w:rPr>
              <w:t>（</w:t>
            </w:r>
            <w:r>
              <w:rPr>
                <w:rFonts w:hint="eastAsia" w:ascii="仿宋" w:hAnsi="仿宋" w:eastAsia="仿宋" w:cs="仿宋"/>
                <w:b/>
                <w:bCs/>
                <w:sz w:val="24"/>
                <w:szCs w:val="24"/>
                <w:highlight w:val="none"/>
              </w:rPr>
              <w:t>二）特定资格条件</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lang w:val="en-US" w:eastAsia="zh-CN"/>
              </w:rPr>
              <w:t>要求提供（如果有）</w:t>
            </w:r>
          </w:p>
        </w:tc>
      </w:tr>
      <w:tr w14:paraId="77353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989" w:type="dxa"/>
            <w:vAlign w:val="center"/>
          </w:tcPr>
          <w:p w14:paraId="325C0D3C">
            <w:pPr>
              <w:pageBreakBefore w:val="0"/>
              <w:kinsoku/>
              <w:wordWrap/>
              <w:overflowPunct/>
              <w:topLinePunct w:val="0"/>
              <w:autoSpaceDE/>
              <w:autoSpaceDN/>
              <w:bidi w:val="0"/>
              <w:spacing w:line="400" w:lineRule="exact"/>
              <w:ind w:leftChars="0"/>
              <w:jc w:val="center"/>
              <w:textAlignment w:val="auto"/>
              <w:rPr>
                <w:rFonts w:hint="eastAsia" w:ascii="仿宋" w:hAnsi="仿宋" w:eastAsia="仿宋" w:cs="仿宋"/>
                <w:sz w:val="24"/>
                <w:szCs w:val="24"/>
              </w:rPr>
            </w:pPr>
            <w:r>
              <w:rPr>
                <w:rFonts w:hint="eastAsia" w:ascii="仿宋" w:hAnsi="仿宋" w:eastAsia="仿宋" w:cs="仿宋"/>
                <w:sz w:val="24"/>
                <w:szCs w:val="24"/>
              </w:rPr>
              <w:t>（二）</w:t>
            </w:r>
          </w:p>
        </w:tc>
        <w:tc>
          <w:tcPr>
            <w:tcW w:w="3655" w:type="dxa"/>
            <w:gridSpan w:val="2"/>
            <w:vAlign w:val="center"/>
          </w:tcPr>
          <w:p w14:paraId="3F84E04B">
            <w:pPr>
              <w:pageBreakBefore w:val="0"/>
              <w:kinsoku/>
              <w:wordWrap/>
              <w:overflowPunct/>
              <w:topLinePunct w:val="0"/>
              <w:autoSpaceDE/>
              <w:autoSpaceDN/>
              <w:bidi w:val="0"/>
              <w:spacing w:line="400" w:lineRule="exact"/>
              <w:ind w:leftChars="0"/>
              <w:textAlignment w:val="auto"/>
              <w:rPr>
                <w:rFonts w:hint="eastAsia" w:ascii="仿宋" w:hAnsi="仿宋" w:eastAsia="仿宋" w:cs="仿宋"/>
                <w:sz w:val="24"/>
                <w:szCs w:val="24"/>
              </w:rPr>
            </w:pPr>
            <w:r>
              <w:rPr>
                <w:rFonts w:hint="eastAsia" w:ascii="仿宋" w:hAnsi="仿宋" w:eastAsia="仿宋" w:cs="仿宋"/>
                <w:sz w:val="24"/>
                <w:szCs w:val="24"/>
              </w:rPr>
              <w:t>参选保证金</w:t>
            </w:r>
          </w:p>
        </w:tc>
        <w:tc>
          <w:tcPr>
            <w:tcW w:w="4984" w:type="dxa"/>
            <w:vAlign w:val="center"/>
          </w:tcPr>
          <w:p w14:paraId="0CD4F9B8">
            <w:pPr>
              <w:pageBreakBefore w:val="0"/>
              <w:kinsoku/>
              <w:wordWrap/>
              <w:overflowPunct/>
              <w:topLinePunct w:val="0"/>
              <w:autoSpaceDE/>
              <w:autoSpaceDN/>
              <w:bidi w:val="0"/>
              <w:spacing w:line="400" w:lineRule="exact"/>
              <w:ind w:leftChars="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无</w:t>
            </w:r>
          </w:p>
        </w:tc>
      </w:tr>
      <w:tr w14:paraId="1BE01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9" w:type="dxa"/>
            <w:vAlign w:val="center"/>
          </w:tcPr>
          <w:p w14:paraId="0FB047BF">
            <w:pPr>
              <w:pageBreakBefore w:val="0"/>
              <w:kinsoku/>
              <w:wordWrap/>
              <w:overflowPunct/>
              <w:topLinePunct w:val="0"/>
              <w:autoSpaceDE/>
              <w:autoSpaceDN/>
              <w:bidi w:val="0"/>
              <w:spacing w:line="400" w:lineRule="exact"/>
              <w:ind w:leftChars="0"/>
              <w:jc w:val="center"/>
              <w:textAlignment w:val="auto"/>
              <w:rPr>
                <w:rFonts w:hint="eastAsia" w:ascii="仿宋" w:hAnsi="仿宋" w:eastAsia="仿宋" w:cs="仿宋"/>
                <w:sz w:val="24"/>
                <w:szCs w:val="24"/>
              </w:rPr>
            </w:pPr>
            <w:r>
              <w:rPr>
                <w:rFonts w:hint="eastAsia" w:ascii="仿宋" w:hAnsi="仿宋" w:eastAsia="仿宋" w:cs="仿宋"/>
                <w:sz w:val="24"/>
                <w:szCs w:val="24"/>
              </w:rPr>
              <w:t>（三）</w:t>
            </w:r>
          </w:p>
        </w:tc>
        <w:tc>
          <w:tcPr>
            <w:tcW w:w="3655" w:type="dxa"/>
            <w:gridSpan w:val="2"/>
            <w:vAlign w:val="center"/>
          </w:tcPr>
          <w:p w14:paraId="43A36D39">
            <w:pPr>
              <w:pageBreakBefore w:val="0"/>
              <w:kinsoku/>
              <w:wordWrap/>
              <w:overflowPunct/>
              <w:topLinePunct w:val="0"/>
              <w:autoSpaceDE/>
              <w:autoSpaceDN/>
              <w:bidi w:val="0"/>
              <w:spacing w:line="400" w:lineRule="exact"/>
              <w:ind w:leftChars="0"/>
              <w:textAlignment w:val="auto"/>
              <w:rPr>
                <w:rFonts w:hint="eastAsia" w:ascii="仿宋" w:hAnsi="仿宋" w:eastAsia="仿宋" w:cs="仿宋"/>
                <w:sz w:val="24"/>
                <w:szCs w:val="24"/>
              </w:rPr>
            </w:pPr>
            <w:r>
              <w:rPr>
                <w:rFonts w:hint="eastAsia" w:ascii="仿宋" w:hAnsi="仿宋" w:eastAsia="仿宋" w:cs="仿宋"/>
                <w:sz w:val="24"/>
                <w:szCs w:val="24"/>
              </w:rPr>
              <w:t>参照落实政府采购政策需满足的资格要求</w:t>
            </w:r>
          </w:p>
        </w:tc>
        <w:tc>
          <w:tcPr>
            <w:tcW w:w="4984" w:type="dxa"/>
            <w:vAlign w:val="center"/>
          </w:tcPr>
          <w:p w14:paraId="7FE7D546">
            <w:pPr>
              <w:pageBreakBefore w:val="0"/>
              <w:kinsoku/>
              <w:wordWrap/>
              <w:overflowPunct/>
              <w:topLinePunct w:val="0"/>
              <w:autoSpaceDE/>
              <w:autoSpaceDN/>
              <w:bidi w:val="0"/>
              <w:spacing w:line="400" w:lineRule="exact"/>
              <w:ind w:leftChars="0"/>
              <w:textAlignment w:val="auto"/>
              <w:rPr>
                <w:rFonts w:hint="eastAsia" w:ascii="仿宋" w:hAnsi="仿宋" w:eastAsia="仿宋" w:cs="仿宋"/>
                <w:sz w:val="24"/>
                <w:szCs w:val="24"/>
                <w:lang w:eastAsia="zh-CN"/>
              </w:rPr>
            </w:pPr>
            <w:r>
              <w:rPr>
                <w:rFonts w:hint="eastAsia" w:ascii="仿宋" w:hAnsi="仿宋" w:eastAsia="仿宋" w:cs="仿宋"/>
                <w:sz w:val="24"/>
                <w:szCs w:val="24"/>
                <w:lang w:eastAsia="zh-CN"/>
              </w:rPr>
              <w:t>无</w:t>
            </w:r>
          </w:p>
        </w:tc>
      </w:tr>
    </w:tbl>
    <w:p w14:paraId="1E57A400">
      <w:pPr>
        <w:pageBreakBefore w:val="0"/>
        <w:kinsoku/>
        <w:wordWrap/>
        <w:overflowPunct/>
        <w:topLinePunct w:val="0"/>
        <w:autoSpaceDE/>
        <w:autoSpaceDN/>
        <w:bidi w:val="0"/>
        <w:snapToGrid w:val="0"/>
        <w:spacing w:line="400" w:lineRule="exact"/>
        <w:ind w:leftChars="0" w:firstLine="480" w:firstLineChars="200"/>
        <w:textAlignment w:val="auto"/>
        <w:rPr>
          <w:rFonts w:hint="eastAsia" w:ascii="仿宋" w:hAnsi="仿宋" w:eastAsia="仿宋" w:cs="仿宋"/>
          <w:kern w:val="0"/>
          <w:sz w:val="24"/>
          <w:szCs w:val="24"/>
        </w:rPr>
      </w:pPr>
      <w:r>
        <w:rPr>
          <w:rFonts w:hint="eastAsia" w:ascii="仿宋" w:hAnsi="仿宋" w:eastAsia="仿宋" w:cs="仿宋"/>
          <w:kern w:val="0"/>
          <w:sz w:val="24"/>
          <w:szCs w:val="24"/>
        </w:rPr>
        <w:t>注：</w:t>
      </w:r>
    </w:p>
    <w:p w14:paraId="5AC647E8">
      <w:pPr>
        <w:pageBreakBefore w:val="0"/>
        <w:kinsoku/>
        <w:wordWrap/>
        <w:overflowPunct/>
        <w:topLinePunct w:val="0"/>
        <w:autoSpaceDE/>
        <w:autoSpaceDN/>
        <w:bidi w:val="0"/>
        <w:snapToGrid w:val="0"/>
        <w:spacing w:line="400" w:lineRule="exact"/>
        <w:ind w:leftChars="0" w:firstLine="480" w:firstLineChars="200"/>
        <w:textAlignment w:val="auto"/>
        <w:rPr>
          <w:rFonts w:hint="eastAsia" w:ascii="仿宋" w:hAnsi="仿宋" w:eastAsia="仿宋" w:cs="仿宋"/>
          <w:kern w:val="0"/>
          <w:sz w:val="24"/>
          <w:szCs w:val="24"/>
        </w:rPr>
      </w:pPr>
      <w:r>
        <w:rPr>
          <w:rFonts w:hint="eastAsia" w:ascii="仿宋" w:hAnsi="仿宋" w:eastAsia="仿宋" w:cs="仿宋"/>
          <w:kern w:val="0"/>
          <w:sz w:val="24"/>
          <w:szCs w:val="24"/>
        </w:rPr>
        <w:fldChar w:fldCharType="begin"/>
      </w:r>
      <w:r>
        <w:rPr>
          <w:rFonts w:hint="eastAsia" w:ascii="仿宋" w:hAnsi="仿宋" w:eastAsia="仿宋" w:cs="仿宋"/>
          <w:kern w:val="0"/>
          <w:sz w:val="24"/>
          <w:szCs w:val="24"/>
        </w:rPr>
        <w:instrText xml:space="preserve"> eq \o\ac(</w:instrText>
      </w:r>
      <w:r>
        <w:rPr>
          <w:rFonts w:hint="eastAsia" w:ascii="仿宋" w:hAnsi="仿宋" w:eastAsia="仿宋" w:cs="仿宋"/>
          <w:kern w:val="0"/>
          <w:position w:val="-4"/>
          <w:sz w:val="36"/>
          <w:szCs w:val="24"/>
        </w:rPr>
        <w:instrText xml:space="preserve">○</w:instrText>
      </w:r>
      <w:r>
        <w:rPr>
          <w:rFonts w:hint="eastAsia" w:ascii="仿宋" w:hAnsi="仿宋" w:eastAsia="仿宋" w:cs="仿宋"/>
          <w:kern w:val="0"/>
          <w:position w:val="0"/>
          <w:sz w:val="24"/>
          <w:szCs w:val="24"/>
        </w:rPr>
        <w:instrText xml:space="preserve">,1)</w:instrText>
      </w:r>
      <w:r>
        <w:rPr>
          <w:rFonts w:hint="eastAsia" w:ascii="仿宋" w:hAnsi="仿宋" w:eastAsia="仿宋" w:cs="仿宋"/>
          <w:kern w:val="0"/>
          <w:sz w:val="24"/>
          <w:szCs w:val="24"/>
        </w:rPr>
        <w:fldChar w:fldCharType="end"/>
      </w:r>
      <w:r>
        <w:rPr>
          <w:rFonts w:hint="eastAsia" w:ascii="仿宋" w:hAnsi="仿宋" w:eastAsia="仿宋" w:cs="仿宋"/>
          <w:kern w:val="0"/>
          <w:sz w:val="24"/>
          <w:szCs w:val="24"/>
        </w:rPr>
        <w:t>根据《中华人民共和国政府采购法实施条例》第十九条“参加政府采购活动前三年内，在经营活动中没有重大违法记录”中“重大违法记录”，是指</w:t>
      </w:r>
      <w:r>
        <w:rPr>
          <w:rFonts w:hint="eastAsia" w:ascii="仿宋" w:hAnsi="仿宋" w:eastAsia="仿宋" w:cs="仿宋"/>
          <w:kern w:val="0"/>
          <w:sz w:val="24"/>
          <w:szCs w:val="24"/>
          <w:lang w:val="en-US" w:eastAsia="zh-CN"/>
        </w:rPr>
        <w:t>供应商</w:t>
      </w:r>
      <w:r>
        <w:rPr>
          <w:rFonts w:hint="eastAsia" w:ascii="仿宋" w:hAnsi="仿宋" w:eastAsia="仿宋" w:cs="仿宋"/>
          <w:kern w:val="0"/>
          <w:sz w:val="24"/>
          <w:szCs w:val="24"/>
        </w:rPr>
        <w:t>因违法经营受到刑事处罚或者责令停产停业、吊销许可证或者执照、较大数额罚款等行政处罚。行政处罚中“较大数额”的认定标准，参照“财政部关于《中华人民共和国政府采购法实施条例》第十九条第一款“较大数额罚款”具体适用问题的意见（财库〔2022〕3 号）”执行。</w:t>
      </w:r>
      <w:r>
        <w:rPr>
          <w:rFonts w:hint="eastAsia" w:ascii="仿宋" w:hAnsi="仿宋" w:eastAsia="仿宋" w:cs="仿宋"/>
          <w:kern w:val="0"/>
          <w:sz w:val="24"/>
          <w:szCs w:val="24"/>
          <w:lang w:val="en-US" w:eastAsia="zh-CN"/>
        </w:rPr>
        <w:t>供应商</w:t>
      </w:r>
      <w:r>
        <w:rPr>
          <w:rFonts w:hint="eastAsia" w:ascii="仿宋" w:hAnsi="仿宋" w:eastAsia="仿宋" w:cs="仿宋"/>
          <w:kern w:val="0"/>
          <w:sz w:val="24"/>
          <w:szCs w:val="24"/>
        </w:rPr>
        <w:t>可于</w:t>
      </w:r>
      <w:r>
        <w:rPr>
          <w:rFonts w:hint="eastAsia" w:ascii="仿宋" w:hAnsi="仿宋" w:eastAsia="仿宋" w:cs="仿宋"/>
          <w:kern w:val="0"/>
          <w:sz w:val="24"/>
          <w:szCs w:val="24"/>
          <w:lang w:eastAsia="zh-CN"/>
        </w:rPr>
        <w:t>响应文件</w:t>
      </w:r>
      <w:r>
        <w:rPr>
          <w:rFonts w:hint="eastAsia" w:ascii="仿宋" w:hAnsi="仿宋" w:eastAsia="仿宋" w:cs="仿宋"/>
          <w:kern w:val="0"/>
          <w:sz w:val="24"/>
          <w:szCs w:val="24"/>
        </w:rPr>
        <w:t>递交截止时间前通过 “信用中国”网站(www.creditchina.gov.cn)、"中国政府采购网"(www.ccgp.gov.cn)等渠道查询信用记录。</w:t>
      </w:r>
    </w:p>
    <w:p w14:paraId="7470DEF1">
      <w:pPr>
        <w:pageBreakBefore w:val="0"/>
        <w:kinsoku/>
        <w:wordWrap/>
        <w:overflowPunct/>
        <w:topLinePunct w:val="0"/>
        <w:autoSpaceDE/>
        <w:autoSpaceDN/>
        <w:bidi w:val="0"/>
        <w:snapToGrid w:val="0"/>
        <w:spacing w:line="400" w:lineRule="exact"/>
        <w:ind w:leftChars="0" w:firstLine="480" w:firstLineChars="200"/>
        <w:textAlignment w:val="auto"/>
        <w:rPr>
          <w:rFonts w:hint="eastAsia" w:ascii="仿宋" w:hAnsi="仿宋" w:eastAsia="仿宋" w:cs="仿宋"/>
          <w:kern w:val="0"/>
          <w:sz w:val="24"/>
          <w:szCs w:val="24"/>
        </w:rPr>
      </w:pPr>
      <w:r>
        <w:rPr>
          <w:rFonts w:hint="eastAsia" w:ascii="仿宋" w:hAnsi="仿宋" w:eastAsia="仿宋" w:cs="仿宋"/>
          <w:kern w:val="0"/>
          <w:sz w:val="24"/>
          <w:szCs w:val="24"/>
        </w:rPr>
        <w:t>2.符合性审查。依据竞争性比选文件的规定，从</w:t>
      </w:r>
      <w:r>
        <w:rPr>
          <w:rFonts w:hint="eastAsia" w:ascii="仿宋" w:hAnsi="仿宋" w:eastAsia="仿宋" w:cs="仿宋"/>
          <w:kern w:val="0"/>
          <w:sz w:val="24"/>
          <w:szCs w:val="24"/>
          <w:lang w:eastAsia="zh-CN"/>
        </w:rPr>
        <w:t>响应文件</w:t>
      </w:r>
      <w:r>
        <w:rPr>
          <w:rFonts w:hint="eastAsia" w:ascii="仿宋" w:hAnsi="仿宋" w:eastAsia="仿宋" w:cs="仿宋"/>
          <w:kern w:val="0"/>
          <w:sz w:val="24"/>
          <w:szCs w:val="24"/>
        </w:rPr>
        <w:t>的有效性、完整性和对竞争性比选文件的响应程度进行审查，以确定是否对竞争性比选文件的实质性要求作出响应。符合性审查资料表如下：</w:t>
      </w:r>
    </w:p>
    <w:tbl>
      <w:tblPr>
        <w:tblStyle w:val="24"/>
        <w:tblW w:w="96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560"/>
        <w:gridCol w:w="1984"/>
        <w:gridCol w:w="5409"/>
      </w:tblGrid>
      <w:tr w14:paraId="6990C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675" w:type="dxa"/>
            <w:vAlign w:val="center"/>
          </w:tcPr>
          <w:p w14:paraId="65AD0E18">
            <w:pPr>
              <w:pageBreakBefore w:val="0"/>
              <w:kinsoku/>
              <w:wordWrap/>
              <w:overflowPunct/>
              <w:topLinePunct w:val="0"/>
              <w:autoSpaceDE/>
              <w:autoSpaceDN/>
              <w:bidi w:val="0"/>
              <w:spacing w:line="400" w:lineRule="exact"/>
              <w:ind w:leftChars="0"/>
              <w:jc w:val="center"/>
              <w:textAlignment w:val="auto"/>
              <w:rPr>
                <w:rFonts w:hint="eastAsia" w:ascii="仿宋" w:hAnsi="仿宋" w:eastAsia="仿宋" w:cs="仿宋"/>
                <w:b/>
                <w:kern w:val="0"/>
                <w:sz w:val="24"/>
                <w:szCs w:val="24"/>
              </w:rPr>
            </w:pPr>
            <w:r>
              <w:rPr>
                <w:rFonts w:hint="eastAsia" w:ascii="仿宋" w:hAnsi="仿宋" w:eastAsia="仿宋" w:cs="仿宋"/>
                <w:b/>
                <w:kern w:val="0"/>
                <w:sz w:val="24"/>
                <w:szCs w:val="24"/>
              </w:rPr>
              <w:t>序号</w:t>
            </w:r>
          </w:p>
        </w:tc>
        <w:tc>
          <w:tcPr>
            <w:tcW w:w="3544" w:type="dxa"/>
            <w:gridSpan w:val="2"/>
            <w:vAlign w:val="center"/>
          </w:tcPr>
          <w:p w14:paraId="2B685219">
            <w:pPr>
              <w:pageBreakBefore w:val="0"/>
              <w:kinsoku/>
              <w:wordWrap/>
              <w:overflowPunct/>
              <w:topLinePunct w:val="0"/>
              <w:autoSpaceDE/>
              <w:autoSpaceDN/>
              <w:bidi w:val="0"/>
              <w:spacing w:line="400" w:lineRule="exact"/>
              <w:ind w:leftChars="0"/>
              <w:jc w:val="center"/>
              <w:textAlignment w:val="auto"/>
              <w:rPr>
                <w:rFonts w:hint="eastAsia" w:ascii="仿宋" w:hAnsi="仿宋" w:eastAsia="仿宋" w:cs="仿宋"/>
                <w:b/>
                <w:kern w:val="0"/>
                <w:sz w:val="24"/>
                <w:szCs w:val="24"/>
              </w:rPr>
            </w:pPr>
            <w:r>
              <w:rPr>
                <w:rFonts w:hint="eastAsia" w:ascii="仿宋" w:hAnsi="仿宋" w:eastAsia="仿宋" w:cs="仿宋"/>
                <w:b/>
                <w:kern w:val="0"/>
                <w:sz w:val="24"/>
                <w:szCs w:val="24"/>
              </w:rPr>
              <w:t>评审因素</w:t>
            </w:r>
          </w:p>
        </w:tc>
        <w:tc>
          <w:tcPr>
            <w:tcW w:w="5409" w:type="dxa"/>
            <w:vAlign w:val="center"/>
          </w:tcPr>
          <w:p w14:paraId="620B3609">
            <w:pPr>
              <w:pageBreakBefore w:val="0"/>
              <w:kinsoku/>
              <w:wordWrap/>
              <w:overflowPunct/>
              <w:topLinePunct w:val="0"/>
              <w:autoSpaceDE/>
              <w:autoSpaceDN/>
              <w:bidi w:val="0"/>
              <w:spacing w:line="400" w:lineRule="exact"/>
              <w:ind w:leftChars="0"/>
              <w:jc w:val="center"/>
              <w:textAlignment w:val="auto"/>
              <w:rPr>
                <w:rFonts w:hint="eastAsia" w:ascii="仿宋" w:hAnsi="仿宋" w:eastAsia="仿宋" w:cs="仿宋"/>
                <w:b/>
                <w:kern w:val="0"/>
                <w:sz w:val="24"/>
                <w:szCs w:val="24"/>
              </w:rPr>
            </w:pPr>
            <w:r>
              <w:rPr>
                <w:rFonts w:hint="eastAsia" w:ascii="仿宋" w:hAnsi="仿宋" w:eastAsia="仿宋" w:cs="仿宋"/>
                <w:b/>
                <w:kern w:val="0"/>
                <w:sz w:val="24"/>
                <w:szCs w:val="24"/>
              </w:rPr>
              <w:t>评审标准</w:t>
            </w:r>
          </w:p>
        </w:tc>
      </w:tr>
      <w:tr w14:paraId="42FF9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675" w:type="dxa"/>
            <w:vMerge w:val="restart"/>
            <w:vAlign w:val="center"/>
          </w:tcPr>
          <w:p w14:paraId="3CA18E1D">
            <w:pPr>
              <w:pageBreakBefore w:val="0"/>
              <w:kinsoku/>
              <w:wordWrap/>
              <w:overflowPunct/>
              <w:topLinePunct w:val="0"/>
              <w:autoSpaceDE/>
              <w:autoSpaceDN/>
              <w:bidi w:val="0"/>
              <w:spacing w:line="400" w:lineRule="exact"/>
              <w:ind w:leftChars="0"/>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1</w:t>
            </w:r>
          </w:p>
        </w:tc>
        <w:tc>
          <w:tcPr>
            <w:tcW w:w="1560" w:type="dxa"/>
            <w:vMerge w:val="restart"/>
            <w:vAlign w:val="center"/>
          </w:tcPr>
          <w:p w14:paraId="712F889F">
            <w:pPr>
              <w:pageBreakBefore w:val="0"/>
              <w:kinsoku/>
              <w:wordWrap/>
              <w:overflowPunct/>
              <w:topLinePunct w:val="0"/>
              <w:autoSpaceDE/>
              <w:autoSpaceDN/>
              <w:bidi w:val="0"/>
              <w:spacing w:line="400" w:lineRule="exact"/>
              <w:ind w:leftChars="0"/>
              <w:textAlignment w:val="auto"/>
              <w:rPr>
                <w:rFonts w:hint="eastAsia" w:ascii="仿宋" w:hAnsi="仿宋" w:eastAsia="仿宋" w:cs="仿宋"/>
                <w:kern w:val="0"/>
                <w:sz w:val="24"/>
                <w:szCs w:val="24"/>
              </w:rPr>
            </w:pPr>
            <w:r>
              <w:rPr>
                <w:rFonts w:hint="eastAsia" w:ascii="仿宋" w:hAnsi="仿宋" w:eastAsia="仿宋" w:cs="仿宋"/>
                <w:kern w:val="0"/>
                <w:sz w:val="24"/>
                <w:szCs w:val="24"/>
              </w:rPr>
              <w:t>有效性审查</w:t>
            </w:r>
          </w:p>
        </w:tc>
        <w:tc>
          <w:tcPr>
            <w:tcW w:w="1984" w:type="dxa"/>
            <w:vAlign w:val="center"/>
          </w:tcPr>
          <w:p w14:paraId="6D6D932C">
            <w:pPr>
              <w:pageBreakBefore w:val="0"/>
              <w:kinsoku/>
              <w:wordWrap/>
              <w:overflowPunct/>
              <w:topLinePunct w:val="0"/>
              <w:autoSpaceDE/>
              <w:autoSpaceDN/>
              <w:bidi w:val="0"/>
              <w:spacing w:line="400" w:lineRule="exact"/>
              <w:ind w:leftChars="0"/>
              <w:textAlignment w:val="auto"/>
              <w:rPr>
                <w:rFonts w:hint="eastAsia" w:ascii="仿宋" w:hAnsi="仿宋" w:eastAsia="仿宋" w:cs="仿宋"/>
                <w:kern w:val="0"/>
                <w:sz w:val="24"/>
                <w:szCs w:val="24"/>
              </w:rPr>
            </w:pPr>
            <w:r>
              <w:rPr>
                <w:rFonts w:hint="eastAsia" w:ascii="仿宋" w:hAnsi="仿宋" w:eastAsia="仿宋" w:cs="仿宋"/>
                <w:sz w:val="24"/>
                <w:szCs w:val="24"/>
                <w:lang w:eastAsia="zh-CN"/>
              </w:rPr>
              <w:t>响应文件</w:t>
            </w:r>
            <w:r>
              <w:rPr>
                <w:rFonts w:hint="eastAsia" w:ascii="仿宋" w:hAnsi="仿宋" w:eastAsia="仿宋" w:cs="仿宋"/>
                <w:sz w:val="24"/>
                <w:szCs w:val="24"/>
              </w:rPr>
              <w:t>签署或盖章</w:t>
            </w:r>
          </w:p>
        </w:tc>
        <w:tc>
          <w:tcPr>
            <w:tcW w:w="5409" w:type="dxa"/>
            <w:vAlign w:val="center"/>
          </w:tcPr>
          <w:p w14:paraId="444BC1C9">
            <w:pPr>
              <w:pageBreakBefore w:val="0"/>
              <w:kinsoku/>
              <w:wordWrap/>
              <w:overflowPunct/>
              <w:topLinePunct w:val="0"/>
              <w:autoSpaceDE/>
              <w:autoSpaceDN/>
              <w:bidi w:val="0"/>
              <w:spacing w:line="400" w:lineRule="exact"/>
              <w:ind w:leftChars="0"/>
              <w:textAlignment w:val="auto"/>
              <w:rPr>
                <w:rFonts w:hint="eastAsia" w:ascii="仿宋" w:hAnsi="仿宋" w:eastAsia="仿宋" w:cs="仿宋"/>
                <w:kern w:val="0"/>
                <w:sz w:val="24"/>
                <w:szCs w:val="24"/>
              </w:rPr>
            </w:pPr>
            <w:r>
              <w:rPr>
                <w:rFonts w:hint="eastAsia" w:ascii="仿宋" w:hAnsi="仿宋" w:eastAsia="仿宋" w:cs="仿宋"/>
                <w:sz w:val="24"/>
                <w:szCs w:val="24"/>
              </w:rPr>
              <w:t>按竞争性比选文件“第七篇</w:t>
            </w:r>
            <w:r>
              <w:rPr>
                <w:rFonts w:hint="eastAsia" w:ascii="仿宋" w:hAnsi="仿宋" w:eastAsia="仿宋" w:cs="仿宋"/>
                <w:sz w:val="24"/>
                <w:szCs w:val="24"/>
                <w:lang w:eastAsia="zh-CN"/>
              </w:rPr>
              <w:t>响应文件</w:t>
            </w:r>
            <w:r>
              <w:rPr>
                <w:rFonts w:hint="eastAsia" w:ascii="仿宋" w:hAnsi="仿宋" w:eastAsia="仿宋" w:cs="仿宋"/>
                <w:sz w:val="24"/>
                <w:szCs w:val="24"/>
              </w:rPr>
              <w:t>编制要求”要求签署或盖章。</w:t>
            </w:r>
          </w:p>
        </w:tc>
      </w:tr>
      <w:tr w14:paraId="08227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675" w:type="dxa"/>
            <w:vMerge w:val="continue"/>
            <w:vAlign w:val="center"/>
          </w:tcPr>
          <w:p w14:paraId="68C3EE99">
            <w:pPr>
              <w:pageBreakBefore w:val="0"/>
              <w:kinsoku/>
              <w:wordWrap/>
              <w:overflowPunct/>
              <w:topLinePunct w:val="0"/>
              <w:autoSpaceDE/>
              <w:autoSpaceDN/>
              <w:bidi w:val="0"/>
              <w:spacing w:line="400" w:lineRule="exact"/>
              <w:ind w:leftChars="0"/>
              <w:jc w:val="center"/>
              <w:textAlignment w:val="auto"/>
              <w:rPr>
                <w:rFonts w:hint="eastAsia" w:ascii="仿宋" w:hAnsi="仿宋" w:eastAsia="仿宋" w:cs="仿宋"/>
                <w:kern w:val="0"/>
                <w:sz w:val="24"/>
                <w:szCs w:val="24"/>
              </w:rPr>
            </w:pPr>
          </w:p>
        </w:tc>
        <w:tc>
          <w:tcPr>
            <w:tcW w:w="1560" w:type="dxa"/>
            <w:vMerge w:val="continue"/>
            <w:vAlign w:val="center"/>
          </w:tcPr>
          <w:p w14:paraId="4D8263A7">
            <w:pPr>
              <w:pageBreakBefore w:val="0"/>
              <w:kinsoku/>
              <w:wordWrap/>
              <w:overflowPunct/>
              <w:topLinePunct w:val="0"/>
              <w:autoSpaceDE/>
              <w:autoSpaceDN/>
              <w:bidi w:val="0"/>
              <w:spacing w:line="400" w:lineRule="exact"/>
              <w:ind w:leftChars="0"/>
              <w:textAlignment w:val="auto"/>
              <w:rPr>
                <w:rFonts w:hint="eastAsia" w:ascii="仿宋" w:hAnsi="仿宋" w:eastAsia="仿宋" w:cs="仿宋"/>
                <w:kern w:val="0"/>
                <w:sz w:val="24"/>
                <w:szCs w:val="24"/>
              </w:rPr>
            </w:pPr>
          </w:p>
        </w:tc>
        <w:tc>
          <w:tcPr>
            <w:tcW w:w="1984" w:type="dxa"/>
            <w:vAlign w:val="center"/>
          </w:tcPr>
          <w:p w14:paraId="4743DA7A">
            <w:pPr>
              <w:pageBreakBefore w:val="0"/>
              <w:kinsoku/>
              <w:wordWrap/>
              <w:overflowPunct/>
              <w:topLinePunct w:val="0"/>
              <w:autoSpaceDE/>
              <w:autoSpaceDN/>
              <w:bidi w:val="0"/>
              <w:spacing w:line="400" w:lineRule="exact"/>
              <w:ind w:leftChars="0"/>
              <w:textAlignment w:val="auto"/>
              <w:rPr>
                <w:rFonts w:hint="eastAsia" w:ascii="仿宋" w:hAnsi="仿宋" w:eastAsia="仿宋" w:cs="仿宋"/>
                <w:sz w:val="24"/>
                <w:szCs w:val="24"/>
              </w:rPr>
            </w:pPr>
            <w:r>
              <w:rPr>
                <w:rFonts w:hint="eastAsia" w:ascii="仿宋" w:hAnsi="仿宋" w:eastAsia="仿宋" w:cs="仿宋"/>
                <w:sz w:val="24"/>
                <w:szCs w:val="24"/>
              </w:rPr>
              <w:t>法定代表人身份证明及授权委托书</w:t>
            </w:r>
          </w:p>
        </w:tc>
        <w:tc>
          <w:tcPr>
            <w:tcW w:w="5409" w:type="dxa"/>
            <w:vAlign w:val="center"/>
          </w:tcPr>
          <w:p w14:paraId="2F33A43E">
            <w:pPr>
              <w:pageBreakBefore w:val="0"/>
              <w:kinsoku/>
              <w:wordWrap/>
              <w:overflowPunct/>
              <w:topLinePunct w:val="0"/>
              <w:autoSpaceDE/>
              <w:autoSpaceDN/>
              <w:bidi w:val="0"/>
              <w:spacing w:line="400" w:lineRule="exact"/>
              <w:ind w:leftChars="0"/>
              <w:textAlignment w:val="auto"/>
              <w:rPr>
                <w:rFonts w:hint="eastAsia" w:ascii="仿宋" w:hAnsi="仿宋" w:eastAsia="仿宋" w:cs="仿宋"/>
                <w:sz w:val="24"/>
                <w:szCs w:val="24"/>
              </w:rPr>
            </w:pPr>
            <w:r>
              <w:rPr>
                <w:rFonts w:hint="eastAsia" w:ascii="仿宋" w:hAnsi="仿宋" w:eastAsia="仿宋" w:cs="仿宋"/>
                <w:sz w:val="24"/>
                <w:szCs w:val="24"/>
              </w:rPr>
              <w:t>法定代表人身份证明及授权委托书有效，符合竞争性比选文件规定的格式，签署或盖章齐全。</w:t>
            </w:r>
          </w:p>
        </w:tc>
      </w:tr>
      <w:tr w14:paraId="709E3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675" w:type="dxa"/>
            <w:vMerge w:val="continue"/>
            <w:vAlign w:val="center"/>
          </w:tcPr>
          <w:p w14:paraId="3AF4E78E">
            <w:pPr>
              <w:pageBreakBefore w:val="0"/>
              <w:kinsoku/>
              <w:wordWrap/>
              <w:overflowPunct/>
              <w:topLinePunct w:val="0"/>
              <w:autoSpaceDE/>
              <w:autoSpaceDN/>
              <w:bidi w:val="0"/>
              <w:spacing w:line="400" w:lineRule="exact"/>
              <w:ind w:leftChars="0"/>
              <w:jc w:val="center"/>
              <w:textAlignment w:val="auto"/>
              <w:rPr>
                <w:rFonts w:hint="eastAsia" w:ascii="仿宋" w:hAnsi="仿宋" w:eastAsia="仿宋" w:cs="仿宋"/>
                <w:kern w:val="0"/>
                <w:sz w:val="24"/>
                <w:szCs w:val="24"/>
              </w:rPr>
            </w:pPr>
          </w:p>
        </w:tc>
        <w:tc>
          <w:tcPr>
            <w:tcW w:w="1560" w:type="dxa"/>
            <w:vMerge w:val="continue"/>
            <w:vAlign w:val="center"/>
          </w:tcPr>
          <w:p w14:paraId="5E1A2A08">
            <w:pPr>
              <w:pageBreakBefore w:val="0"/>
              <w:kinsoku/>
              <w:wordWrap/>
              <w:overflowPunct/>
              <w:topLinePunct w:val="0"/>
              <w:autoSpaceDE/>
              <w:autoSpaceDN/>
              <w:bidi w:val="0"/>
              <w:spacing w:line="400" w:lineRule="exact"/>
              <w:ind w:leftChars="0"/>
              <w:textAlignment w:val="auto"/>
              <w:rPr>
                <w:rFonts w:hint="eastAsia" w:ascii="仿宋" w:hAnsi="仿宋" w:eastAsia="仿宋" w:cs="仿宋"/>
                <w:kern w:val="0"/>
                <w:sz w:val="24"/>
                <w:szCs w:val="24"/>
              </w:rPr>
            </w:pPr>
          </w:p>
        </w:tc>
        <w:tc>
          <w:tcPr>
            <w:tcW w:w="1984" w:type="dxa"/>
            <w:vAlign w:val="center"/>
          </w:tcPr>
          <w:p w14:paraId="4BA19986">
            <w:pPr>
              <w:pageBreakBefore w:val="0"/>
              <w:kinsoku/>
              <w:wordWrap/>
              <w:overflowPunct/>
              <w:topLinePunct w:val="0"/>
              <w:autoSpaceDE/>
              <w:autoSpaceDN/>
              <w:bidi w:val="0"/>
              <w:spacing w:line="400" w:lineRule="exact"/>
              <w:ind w:leftChars="0"/>
              <w:textAlignment w:val="auto"/>
              <w:rPr>
                <w:rFonts w:hint="eastAsia" w:ascii="仿宋" w:hAnsi="仿宋" w:eastAsia="仿宋" w:cs="仿宋"/>
                <w:sz w:val="24"/>
                <w:szCs w:val="24"/>
                <w:lang w:val="zh-CN"/>
              </w:rPr>
            </w:pPr>
            <w:r>
              <w:rPr>
                <w:rFonts w:hint="eastAsia" w:ascii="仿宋" w:hAnsi="仿宋" w:eastAsia="仿宋" w:cs="仿宋"/>
                <w:sz w:val="24"/>
                <w:szCs w:val="24"/>
              </w:rPr>
              <w:t>响应</w:t>
            </w:r>
            <w:r>
              <w:rPr>
                <w:rFonts w:hint="eastAsia" w:ascii="仿宋" w:hAnsi="仿宋" w:eastAsia="仿宋" w:cs="仿宋"/>
                <w:sz w:val="24"/>
                <w:szCs w:val="24"/>
                <w:lang w:val="zh-CN"/>
              </w:rPr>
              <w:t>方案</w:t>
            </w:r>
          </w:p>
        </w:tc>
        <w:tc>
          <w:tcPr>
            <w:tcW w:w="5409" w:type="dxa"/>
            <w:vAlign w:val="center"/>
          </w:tcPr>
          <w:p w14:paraId="252C3561">
            <w:pPr>
              <w:pageBreakBefore w:val="0"/>
              <w:kinsoku/>
              <w:wordWrap/>
              <w:overflowPunct/>
              <w:topLinePunct w:val="0"/>
              <w:autoSpaceDE/>
              <w:autoSpaceDN/>
              <w:bidi w:val="0"/>
              <w:spacing w:line="400" w:lineRule="exact"/>
              <w:ind w:leftChars="0"/>
              <w:textAlignment w:val="auto"/>
              <w:rPr>
                <w:rFonts w:hint="eastAsia" w:ascii="仿宋" w:hAnsi="仿宋" w:eastAsia="仿宋" w:cs="仿宋"/>
                <w:kern w:val="0"/>
                <w:sz w:val="24"/>
                <w:szCs w:val="24"/>
              </w:rPr>
            </w:pPr>
            <w:r>
              <w:rPr>
                <w:rFonts w:hint="eastAsia" w:ascii="仿宋" w:hAnsi="仿宋" w:eastAsia="仿宋" w:cs="仿宋"/>
                <w:sz w:val="24"/>
                <w:szCs w:val="24"/>
                <w:lang w:val="zh-CN"/>
              </w:rPr>
              <w:t>只能有一个</w:t>
            </w:r>
            <w:r>
              <w:rPr>
                <w:rFonts w:hint="eastAsia" w:ascii="仿宋" w:hAnsi="仿宋" w:eastAsia="仿宋" w:cs="仿宋"/>
                <w:sz w:val="24"/>
                <w:szCs w:val="24"/>
              </w:rPr>
              <w:t>响应</w:t>
            </w:r>
            <w:r>
              <w:rPr>
                <w:rFonts w:hint="eastAsia" w:ascii="仿宋" w:hAnsi="仿宋" w:eastAsia="仿宋" w:cs="仿宋"/>
                <w:sz w:val="24"/>
                <w:szCs w:val="24"/>
                <w:lang w:val="zh-CN"/>
              </w:rPr>
              <w:t>方案。</w:t>
            </w:r>
          </w:p>
        </w:tc>
      </w:tr>
      <w:tr w14:paraId="0E479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675" w:type="dxa"/>
            <w:vMerge w:val="continue"/>
            <w:vAlign w:val="center"/>
          </w:tcPr>
          <w:p w14:paraId="751C45A1">
            <w:pPr>
              <w:pageBreakBefore w:val="0"/>
              <w:kinsoku/>
              <w:wordWrap/>
              <w:overflowPunct/>
              <w:topLinePunct w:val="0"/>
              <w:autoSpaceDE/>
              <w:autoSpaceDN/>
              <w:bidi w:val="0"/>
              <w:spacing w:line="400" w:lineRule="exact"/>
              <w:ind w:leftChars="0"/>
              <w:jc w:val="center"/>
              <w:textAlignment w:val="auto"/>
              <w:rPr>
                <w:rFonts w:hint="eastAsia" w:ascii="仿宋" w:hAnsi="仿宋" w:eastAsia="仿宋" w:cs="仿宋"/>
                <w:kern w:val="0"/>
                <w:sz w:val="24"/>
                <w:szCs w:val="24"/>
              </w:rPr>
            </w:pPr>
          </w:p>
        </w:tc>
        <w:tc>
          <w:tcPr>
            <w:tcW w:w="1560" w:type="dxa"/>
            <w:vMerge w:val="continue"/>
            <w:vAlign w:val="center"/>
          </w:tcPr>
          <w:p w14:paraId="0BCF9322">
            <w:pPr>
              <w:pageBreakBefore w:val="0"/>
              <w:kinsoku/>
              <w:wordWrap/>
              <w:overflowPunct/>
              <w:topLinePunct w:val="0"/>
              <w:autoSpaceDE/>
              <w:autoSpaceDN/>
              <w:bidi w:val="0"/>
              <w:spacing w:line="400" w:lineRule="exact"/>
              <w:ind w:leftChars="0"/>
              <w:textAlignment w:val="auto"/>
              <w:rPr>
                <w:rFonts w:hint="eastAsia" w:ascii="仿宋" w:hAnsi="仿宋" w:eastAsia="仿宋" w:cs="仿宋"/>
                <w:kern w:val="0"/>
                <w:sz w:val="24"/>
                <w:szCs w:val="24"/>
              </w:rPr>
            </w:pPr>
          </w:p>
        </w:tc>
        <w:tc>
          <w:tcPr>
            <w:tcW w:w="1984" w:type="dxa"/>
            <w:vAlign w:val="center"/>
          </w:tcPr>
          <w:p w14:paraId="77E529C9">
            <w:pPr>
              <w:pageBreakBefore w:val="0"/>
              <w:kinsoku/>
              <w:wordWrap/>
              <w:overflowPunct/>
              <w:topLinePunct w:val="0"/>
              <w:autoSpaceDE/>
              <w:autoSpaceDN/>
              <w:bidi w:val="0"/>
              <w:spacing w:line="400" w:lineRule="exact"/>
              <w:ind w:leftChars="0"/>
              <w:textAlignment w:val="auto"/>
              <w:rPr>
                <w:rFonts w:hint="eastAsia" w:ascii="仿宋" w:hAnsi="仿宋" w:eastAsia="仿宋" w:cs="仿宋"/>
                <w:sz w:val="24"/>
                <w:szCs w:val="24"/>
                <w:lang w:val="zh-CN"/>
              </w:rPr>
            </w:pPr>
            <w:r>
              <w:rPr>
                <w:rFonts w:hint="eastAsia" w:ascii="仿宋" w:hAnsi="仿宋" w:eastAsia="仿宋" w:cs="仿宋"/>
                <w:sz w:val="24"/>
                <w:szCs w:val="24"/>
              </w:rPr>
              <w:t>报价唯一</w:t>
            </w:r>
          </w:p>
        </w:tc>
        <w:tc>
          <w:tcPr>
            <w:tcW w:w="5409" w:type="dxa"/>
            <w:vAlign w:val="center"/>
          </w:tcPr>
          <w:p w14:paraId="442394B9">
            <w:pPr>
              <w:pageBreakBefore w:val="0"/>
              <w:kinsoku/>
              <w:wordWrap/>
              <w:overflowPunct/>
              <w:topLinePunct w:val="0"/>
              <w:autoSpaceDE/>
              <w:autoSpaceDN/>
              <w:bidi w:val="0"/>
              <w:spacing w:line="400" w:lineRule="exact"/>
              <w:ind w:leftChars="0"/>
              <w:textAlignment w:val="auto"/>
              <w:rPr>
                <w:rFonts w:hint="eastAsia" w:ascii="仿宋" w:hAnsi="仿宋" w:eastAsia="仿宋" w:cs="仿宋"/>
                <w:kern w:val="0"/>
                <w:sz w:val="24"/>
                <w:szCs w:val="24"/>
              </w:rPr>
            </w:pPr>
            <w:r>
              <w:rPr>
                <w:rFonts w:hint="eastAsia" w:ascii="仿宋" w:hAnsi="仿宋" w:eastAsia="仿宋" w:cs="仿宋"/>
                <w:sz w:val="24"/>
                <w:szCs w:val="24"/>
              </w:rPr>
              <w:t>只能有一个有效报价，不得提交选择性报价。</w:t>
            </w:r>
          </w:p>
        </w:tc>
      </w:tr>
      <w:tr w14:paraId="2DE86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675" w:type="dxa"/>
            <w:vAlign w:val="center"/>
          </w:tcPr>
          <w:p w14:paraId="3BA6ED0D">
            <w:pPr>
              <w:pageBreakBefore w:val="0"/>
              <w:kinsoku/>
              <w:wordWrap/>
              <w:overflowPunct/>
              <w:topLinePunct w:val="0"/>
              <w:autoSpaceDE/>
              <w:autoSpaceDN/>
              <w:bidi w:val="0"/>
              <w:spacing w:line="400" w:lineRule="exact"/>
              <w:ind w:leftChars="0"/>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2</w:t>
            </w:r>
          </w:p>
        </w:tc>
        <w:tc>
          <w:tcPr>
            <w:tcW w:w="1560" w:type="dxa"/>
            <w:vAlign w:val="center"/>
          </w:tcPr>
          <w:p w14:paraId="6754B098">
            <w:pPr>
              <w:pageBreakBefore w:val="0"/>
              <w:kinsoku/>
              <w:wordWrap/>
              <w:overflowPunct/>
              <w:topLinePunct w:val="0"/>
              <w:autoSpaceDE/>
              <w:autoSpaceDN/>
              <w:bidi w:val="0"/>
              <w:spacing w:line="400" w:lineRule="exact"/>
              <w:ind w:leftChars="0"/>
              <w:textAlignment w:val="auto"/>
              <w:rPr>
                <w:rFonts w:hint="eastAsia" w:ascii="仿宋" w:hAnsi="仿宋" w:eastAsia="仿宋" w:cs="仿宋"/>
                <w:kern w:val="0"/>
                <w:sz w:val="24"/>
                <w:szCs w:val="24"/>
              </w:rPr>
            </w:pPr>
            <w:r>
              <w:rPr>
                <w:rFonts w:hint="eastAsia" w:ascii="仿宋" w:hAnsi="仿宋" w:eastAsia="仿宋" w:cs="仿宋"/>
                <w:kern w:val="0"/>
                <w:sz w:val="24"/>
                <w:szCs w:val="24"/>
              </w:rPr>
              <w:t>完整性审查</w:t>
            </w:r>
          </w:p>
        </w:tc>
        <w:tc>
          <w:tcPr>
            <w:tcW w:w="1984" w:type="dxa"/>
            <w:vAlign w:val="center"/>
          </w:tcPr>
          <w:p w14:paraId="50BF5123">
            <w:pPr>
              <w:pageBreakBefore w:val="0"/>
              <w:kinsoku/>
              <w:wordWrap/>
              <w:overflowPunct/>
              <w:topLinePunct w:val="0"/>
              <w:autoSpaceDE/>
              <w:autoSpaceDN/>
              <w:bidi w:val="0"/>
              <w:spacing w:line="400" w:lineRule="exact"/>
              <w:ind w:leftChars="0"/>
              <w:textAlignment w:val="auto"/>
              <w:rPr>
                <w:rFonts w:hint="eastAsia" w:ascii="仿宋" w:hAnsi="仿宋" w:eastAsia="仿宋" w:cs="仿宋"/>
                <w:kern w:val="0"/>
                <w:sz w:val="24"/>
                <w:szCs w:val="24"/>
              </w:rPr>
            </w:pPr>
            <w:r>
              <w:rPr>
                <w:rFonts w:hint="eastAsia" w:ascii="仿宋" w:hAnsi="仿宋" w:eastAsia="仿宋" w:cs="仿宋"/>
                <w:sz w:val="24"/>
                <w:szCs w:val="24"/>
                <w:lang w:eastAsia="zh-CN"/>
              </w:rPr>
              <w:t>响应文件</w:t>
            </w:r>
            <w:r>
              <w:rPr>
                <w:rFonts w:hint="eastAsia" w:ascii="仿宋" w:hAnsi="仿宋" w:eastAsia="仿宋" w:cs="仿宋"/>
                <w:sz w:val="24"/>
                <w:szCs w:val="24"/>
                <w:lang w:val="zh-CN"/>
              </w:rPr>
              <w:t>份数</w:t>
            </w:r>
          </w:p>
        </w:tc>
        <w:tc>
          <w:tcPr>
            <w:tcW w:w="5409" w:type="dxa"/>
            <w:vAlign w:val="center"/>
          </w:tcPr>
          <w:p w14:paraId="612F3D17">
            <w:pPr>
              <w:pageBreakBefore w:val="0"/>
              <w:kinsoku/>
              <w:wordWrap/>
              <w:overflowPunct/>
              <w:topLinePunct w:val="0"/>
              <w:autoSpaceDE/>
              <w:autoSpaceDN/>
              <w:bidi w:val="0"/>
              <w:spacing w:line="400" w:lineRule="exact"/>
              <w:ind w:leftChars="0"/>
              <w:textAlignment w:val="auto"/>
              <w:rPr>
                <w:rFonts w:hint="eastAsia" w:ascii="仿宋" w:hAnsi="仿宋" w:eastAsia="仿宋" w:cs="仿宋"/>
                <w:kern w:val="0"/>
                <w:sz w:val="24"/>
                <w:szCs w:val="24"/>
              </w:rPr>
            </w:pPr>
            <w:r>
              <w:rPr>
                <w:rFonts w:hint="eastAsia" w:ascii="仿宋" w:hAnsi="仿宋" w:eastAsia="仿宋" w:cs="仿宋"/>
                <w:sz w:val="24"/>
                <w:szCs w:val="24"/>
                <w:lang w:eastAsia="zh-CN"/>
              </w:rPr>
              <w:t>响应文件</w:t>
            </w:r>
            <w:r>
              <w:rPr>
                <w:rFonts w:hint="eastAsia" w:ascii="仿宋" w:hAnsi="仿宋" w:eastAsia="仿宋" w:cs="仿宋"/>
                <w:sz w:val="24"/>
                <w:szCs w:val="24"/>
                <w:lang w:val="zh-CN"/>
              </w:rPr>
              <w:t>正、副本数量</w:t>
            </w:r>
            <w:r>
              <w:rPr>
                <w:rFonts w:hint="eastAsia" w:ascii="仿宋" w:hAnsi="仿宋" w:eastAsia="仿宋" w:cs="仿宋"/>
                <w:sz w:val="24"/>
                <w:szCs w:val="24"/>
                <w:lang w:val="en-US" w:eastAsia="zh-CN"/>
              </w:rPr>
              <w:t>(含电子文档)</w:t>
            </w:r>
            <w:r>
              <w:rPr>
                <w:rFonts w:hint="eastAsia" w:ascii="仿宋" w:hAnsi="仿宋" w:eastAsia="仿宋" w:cs="仿宋"/>
                <w:sz w:val="24"/>
                <w:szCs w:val="24"/>
                <w:lang w:val="zh-CN"/>
              </w:rPr>
              <w:t>符合</w:t>
            </w:r>
            <w:r>
              <w:rPr>
                <w:rFonts w:hint="eastAsia" w:ascii="仿宋" w:hAnsi="仿宋" w:eastAsia="仿宋" w:cs="仿宋"/>
                <w:sz w:val="24"/>
                <w:szCs w:val="24"/>
              </w:rPr>
              <w:t>竞争性比选</w:t>
            </w:r>
            <w:r>
              <w:rPr>
                <w:rFonts w:hint="eastAsia" w:ascii="仿宋" w:hAnsi="仿宋" w:eastAsia="仿宋" w:cs="仿宋"/>
                <w:sz w:val="24"/>
                <w:szCs w:val="24"/>
                <w:lang w:val="zh-CN"/>
              </w:rPr>
              <w:t>文件要求。</w:t>
            </w:r>
          </w:p>
        </w:tc>
      </w:tr>
      <w:tr w14:paraId="36868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675" w:type="dxa"/>
            <w:vMerge w:val="restart"/>
            <w:vAlign w:val="center"/>
          </w:tcPr>
          <w:p w14:paraId="31EEFBD3">
            <w:pPr>
              <w:pageBreakBefore w:val="0"/>
              <w:kinsoku/>
              <w:wordWrap/>
              <w:overflowPunct/>
              <w:topLinePunct w:val="0"/>
              <w:autoSpaceDE/>
              <w:autoSpaceDN/>
              <w:bidi w:val="0"/>
              <w:spacing w:line="400" w:lineRule="exact"/>
              <w:ind w:leftChars="0"/>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3</w:t>
            </w:r>
          </w:p>
        </w:tc>
        <w:tc>
          <w:tcPr>
            <w:tcW w:w="1560" w:type="dxa"/>
            <w:vMerge w:val="restart"/>
            <w:vAlign w:val="center"/>
          </w:tcPr>
          <w:p w14:paraId="50BC2819">
            <w:pPr>
              <w:pageBreakBefore w:val="0"/>
              <w:kinsoku/>
              <w:wordWrap/>
              <w:overflowPunct/>
              <w:topLinePunct w:val="0"/>
              <w:autoSpaceDE/>
              <w:autoSpaceDN/>
              <w:bidi w:val="0"/>
              <w:spacing w:line="400" w:lineRule="exact"/>
              <w:ind w:leftChars="0"/>
              <w:textAlignment w:val="auto"/>
              <w:rPr>
                <w:rFonts w:hint="eastAsia" w:ascii="仿宋" w:hAnsi="仿宋" w:eastAsia="仿宋" w:cs="仿宋"/>
                <w:sz w:val="24"/>
                <w:szCs w:val="24"/>
                <w:lang w:val="zh-CN"/>
              </w:rPr>
            </w:pPr>
            <w:r>
              <w:rPr>
                <w:rFonts w:hint="eastAsia" w:ascii="仿宋" w:hAnsi="仿宋" w:eastAsia="仿宋" w:cs="仿宋"/>
                <w:kern w:val="0"/>
                <w:sz w:val="24"/>
                <w:szCs w:val="24"/>
              </w:rPr>
              <w:t>响应程度审查</w:t>
            </w:r>
          </w:p>
        </w:tc>
        <w:tc>
          <w:tcPr>
            <w:tcW w:w="1984" w:type="dxa"/>
            <w:vAlign w:val="center"/>
          </w:tcPr>
          <w:p w14:paraId="4923169B">
            <w:pPr>
              <w:pageBreakBefore w:val="0"/>
              <w:kinsoku/>
              <w:wordWrap/>
              <w:overflowPunct/>
              <w:topLinePunct w:val="0"/>
              <w:autoSpaceDE/>
              <w:autoSpaceDN/>
              <w:bidi w:val="0"/>
              <w:spacing w:line="400" w:lineRule="exact"/>
              <w:ind w:leftChars="0"/>
              <w:textAlignment w:val="auto"/>
              <w:rPr>
                <w:rFonts w:hint="eastAsia" w:ascii="仿宋" w:hAnsi="仿宋" w:eastAsia="仿宋" w:cs="仿宋"/>
                <w:kern w:val="0"/>
                <w:sz w:val="24"/>
                <w:szCs w:val="24"/>
              </w:rPr>
            </w:pPr>
            <w:r>
              <w:rPr>
                <w:rFonts w:hint="eastAsia" w:ascii="仿宋" w:hAnsi="仿宋" w:eastAsia="仿宋" w:cs="仿宋"/>
                <w:kern w:val="0"/>
                <w:sz w:val="24"/>
                <w:szCs w:val="24"/>
              </w:rPr>
              <w:t>实质性响应</w:t>
            </w:r>
          </w:p>
        </w:tc>
        <w:tc>
          <w:tcPr>
            <w:tcW w:w="5409" w:type="dxa"/>
            <w:vAlign w:val="center"/>
          </w:tcPr>
          <w:p w14:paraId="4516AD7C">
            <w:pPr>
              <w:pStyle w:val="13"/>
              <w:pageBreakBefore w:val="0"/>
              <w:kinsoku/>
              <w:wordWrap/>
              <w:overflowPunct/>
              <w:topLinePunct w:val="0"/>
              <w:autoSpaceDE/>
              <w:autoSpaceDN/>
              <w:bidi w:val="0"/>
              <w:spacing w:line="400" w:lineRule="exact"/>
              <w:ind w:leftChars="0"/>
              <w:textAlignment w:val="auto"/>
              <w:rPr>
                <w:rFonts w:hint="eastAsia" w:ascii="仿宋" w:hAnsi="仿宋" w:eastAsia="仿宋" w:cs="仿宋"/>
                <w:kern w:val="0"/>
                <w:sz w:val="24"/>
                <w:szCs w:val="24"/>
                <w:lang w:eastAsia="zh-CN"/>
              </w:rPr>
            </w:pPr>
            <w:r>
              <w:rPr>
                <w:rFonts w:hint="eastAsia" w:ascii="仿宋" w:hAnsi="仿宋" w:eastAsia="仿宋" w:cs="仿宋"/>
                <w:kern w:val="0"/>
                <w:sz w:val="24"/>
                <w:szCs w:val="24"/>
              </w:rPr>
              <w:t>竞争性比选文件第二篇、第三篇的全部要求</w:t>
            </w:r>
            <w:r>
              <w:rPr>
                <w:rFonts w:hint="eastAsia" w:ascii="仿宋" w:hAnsi="仿宋" w:eastAsia="仿宋" w:cs="仿宋"/>
                <w:kern w:val="0"/>
                <w:sz w:val="24"/>
                <w:szCs w:val="24"/>
                <w:lang w:eastAsia="zh-CN"/>
              </w:rPr>
              <w:t>。</w:t>
            </w:r>
          </w:p>
        </w:tc>
      </w:tr>
      <w:tr w14:paraId="021A9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trPr>
        <w:tc>
          <w:tcPr>
            <w:tcW w:w="675" w:type="dxa"/>
            <w:vMerge w:val="continue"/>
            <w:vAlign w:val="center"/>
          </w:tcPr>
          <w:p w14:paraId="23534EDB">
            <w:pPr>
              <w:pageBreakBefore w:val="0"/>
              <w:kinsoku/>
              <w:wordWrap/>
              <w:overflowPunct/>
              <w:topLinePunct w:val="0"/>
              <w:autoSpaceDE/>
              <w:autoSpaceDN/>
              <w:bidi w:val="0"/>
              <w:spacing w:line="400" w:lineRule="exact"/>
              <w:ind w:leftChars="0"/>
              <w:jc w:val="center"/>
              <w:textAlignment w:val="auto"/>
              <w:rPr>
                <w:rFonts w:hint="eastAsia" w:ascii="仿宋" w:hAnsi="仿宋" w:eastAsia="仿宋" w:cs="仿宋"/>
                <w:kern w:val="0"/>
                <w:sz w:val="24"/>
                <w:szCs w:val="24"/>
              </w:rPr>
            </w:pPr>
          </w:p>
        </w:tc>
        <w:tc>
          <w:tcPr>
            <w:tcW w:w="1560" w:type="dxa"/>
            <w:vMerge w:val="continue"/>
            <w:vAlign w:val="center"/>
          </w:tcPr>
          <w:p w14:paraId="10474F3E">
            <w:pPr>
              <w:pageBreakBefore w:val="0"/>
              <w:kinsoku/>
              <w:wordWrap/>
              <w:overflowPunct/>
              <w:topLinePunct w:val="0"/>
              <w:autoSpaceDE/>
              <w:autoSpaceDN/>
              <w:bidi w:val="0"/>
              <w:spacing w:line="400" w:lineRule="exact"/>
              <w:ind w:leftChars="0"/>
              <w:textAlignment w:val="auto"/>
              <w:rPr>
                <w:rFonts w:hint="eastAsia" w:ascii="仿宋" w:hAnsi="仿宋" w:eastAsia="仿宋" w:cs="仿宋"/>
                <w:sz w:val="24"/>
                <w:szCs w:val="24"/>
                <w:lang w:val="zh-CN"/>
              </w:rPr>
            </w:pPr>
          </w:p>
        </w:tc>
        <w:tc>
          <w:tcPr>
            <w:tcW w:w="1984" w:type="dxa"/>
            <w:vAlign w:val="center"/>
          </w:tcPr>
          <w:p w14:paraId="4BFB5BFE">
            <w:pPr>
              <w:pageBreakBefore w:val="0"/>
              <w:kinsoku/>
              <w:wordWrap/>
              <w:overflowPunct/>
              <w:topLinePunct w:val="0"/>
              <w:autoSpaceDE/>
              <w:autoSpaceDN/>
              <w:bidi w:val="0"/>
              <w:spacing w:line="400" w:lineRule="exact"/>
              <w:ind w:leftChars="0"/>
              <w:textAlignment w:val="auto"/>
              <w:rPr>
                <w:rFonts w:hint="eastAsia" w:ascii="仿宋" w:hAnsi="仿宋" w:eastAsia="仿宋" w:cs="仿宋"/>
                <w:kern w:val="0"/>
                <w:sz w:val="24"/>
                <w:szCs w:val="24"/>
              </w:rPr>
            </w:pPr>
            <w:r>
              <w:rPr>
                <w:rFonts w:hint="eastAsia" w:ascii="仿宋" w:hAnsi="仿宋" w:eastAsia="仿宋" w:cs="仿宋"/>
                <w:kern w:val="0"/>
                <w:sz w:val="24"/>
                <w:szCs w:val="24"/>
              </w:rPr>
              <w:t>投标有效期</w:t>
            </w:r>
          </w:p>
        </w:tc>
        <w:tc>
          <w:tcPr>
            <w:tcW w:w="5409" w:type="dxa"/>
            <w:vAlign w:val="center"/>
          </w:tcPr>
          <w:p w14:paraId="7208C733">
            <w:pPr>
              <w:pageBreakBefore w:val="0"/>
              <w:kinsoku/>
              <w:wordWrap/>
              <w:overflowPunct/>
              <w:topLinePunct w:val="0"/>
              <w:autoSpaceDE/>
              <w:autoSpaceDN/>
              <w:bidi w:val="0"/>
              <w:spacing w:line="400" w:lineRule="exact"/>
              <w:ind w:leftChars="0"/>
              <w:textAlignment w:val="auto"/>
              <w:rPr>
                <w:rFonts w:hint="eastAsia" w:ascii="仿宋" w:hAnsi="仿宋" w:eastAsia="仿宋" w:cs="仿宋"/>
                <w:kern w:val="0"/>
                <w:sz w:val="24"/>
                <w:szCs w:val="24"/>
              </w:rPr>
            </w:pPr>
            <w:r>
              <w:rPr>
                <w:rFonts w:hint="eastAsia" w:ascii="仿宋" w:hAnsi="仿宋" w:eastAsia="仿宋" w:cs="仿宋"/>
                <w:kern w:val="0"/>
                <w:sz w:val="24"/>
                <w:szCs w:val="24"/>
                <w:lang w:eastAsia="zh-CN"/>
              </w:rPr>
              <w:t>响应文件</w:t>
            </w:r>
            <w:r>
              <w:rPr>
                <w:rFonts w:hint="eastAsia" w:ascii="仿宋" w:hAnsi="仿宋" w:eastAsia="仿宋" w:cs="仿宋"/>
                <w:kern w:val="0"/>
                <w:sz w:val="24"/>
                <w:szCs w:val="24"/>
              </w:rPr>
              <w:t>及有关承诺文件有效期为提交</w:t>
            </w:r>
            <w:r>
              <w:rPr>
                <w:rFonts w:hint="eastAsia" w:ascii="仿宋" w:hAnsi="仿宋" w:eastAsia="仿宋" w:cs="仿宋"/>
                <w:kern w:val="0"/>
                <w:sz w:val="24"/>
                <w:szCs w:val="24"/>
                <w:lang w:eastAsia="zh-CN"/>
              </w:rPr>
              <w:t>响应文件</w:t>
            </w:r>
            <w:r>
              <w:rPr>
                <w:rFonts w:hint="eastAsia" w:ascii="仿宋" w:hAnsi="仿宋" w:eastAsia="仿宋" w:cs="仿宋"/>
                <w:kern w:val="0"/>
                <w:sz w:val="24"/>
                <w:szCs w:val="24"/>
              </w:rPr>
              <w:t>截止时间起90天。</w:t>
            </w:r>
          </w:p>
        </w:tc>
      </w:tr>
    </w:tbl>
    <w:p w14:paraId="526C2329">
      <w:pPr>
        <w:pageBreakBefore w:val="0"/>
        <w:kinsoku/>
        <w:wordWrap/>
        <w:overflowPunct/>
        <w:topLinePunct w:val="0"/>
        <w:autoSpaceDE/>
        <w:autoSpaceDN/>
        <w:bidi w:val="0"/>
        <w:spacing w:line="400" w:lineRule="exact"/>
        <w:ind w:leftChars="0"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3.在采购过程中符合要求的</w:t>
      </w:r>
      <w:r>
        <w:rPr>
          <w:rFonts w:hint="eastAsia" w:ascii="仿宋" w:hAnsi="仿宋" w:eastAsia="仿宋" w:cs="仿宋"/>
          <w:sz w:val="24"/>
          <w:szCs w:val="24"/>
          <w:lang w:val="en-US" w:eastAsia="zh-CN"/>
        </w:rPr>
        <w:t>供应商</w:t>
      </w:r>
      <w:r>
        <w:rPr>
          <w:rFonts w:hint="eastAsia" w:ascii="仿宋" w:hAnsi="仿宋" w:eastAsia="仿宋" w:cs="仿宋"/>
          <w:sz w:val="24"/>
          <w:szCs w:val="24"/>
        </w:rPr>
        <w:t>不足3家的，比选采购活动中止并重新开展采购活动。</w:t>
      </w:r>
    </w:p>
    <w:p w14:paraId="272851FB">
      <w:pPr>
        <w:pageBreakBefore w:val="0"/>
        <w:kinsoku/>
        <w:wordWrap/>
        <w:overflowPunct/>
        <w:topLinePunct w:val="0"/>
        <w:autoSpaceDE/>
        <w:autoSpaceDN/>
        <w:bidi w:val="0"/>
        <w:spacing w:line="400" w:lineRule="exact"/>
        <w:ind w:leftChars="0"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（三）澄清有关问题。评审小组在对</w:t>
      </w:r>
      <w:r>
        <w:rPr>
          <w:rFonts w:hint="eastAsia" w:ascii="仿宋" w:hAnsi="仿宋" w:eastAsia="仿宋" w:cs="仿宋"/>
          <w:sz w:val="24"/>
          <w:szCs w:val="24"/>
          <w:lang w:eastAsia="zh-CN"/>
        </w:rPr>
        <w:t>响应文件</w:t>
      </w:r>
      <w:r>
        <w:rPr>
          <w:rFonts w:hint="eastAsia" w:ascii="仿宋" w:hAnsi="仿宋" w:eastAsia="仿宋" w:cs="仿宋"/>
          <w:sz w:val="24"/>
          <w:szCs w:val="24"/>
        </w:rPr>
        <w:t>的有效性、完整性和响应程度进行审查时，可以要求</w:t>
      </w:r>
      <w:r>
        <w:rPr>
          <w:rFonts w:hint="eastAsia" w:ascii="仿宋" w:hAnsi="仿宋" w:eastAsia="仿宋" w:cs="仿宋"/>
          <w:sz w:val="24"/>
          <w:szCs w:val="24"/>
          <w:lang w:val="en-US" w:eastAsia="zh-CN"/>
        </w:rPr>
        <w:t>供应商</w:t>
      </w:r>
      <w:r>
        <w:rPr>
          <w:rFonts w:hint="eastAsia" w:ascii="仿宋" w:hAnsi="仿宋" w:eastAsia="仿宋" w:cs="仿宋"/>
          <w:sz w:val="24"/>
          <w:szCs w:val="24"/>
        </w:rPr>
        <w:t>对</w:t>
      </w:r>
      <w:r>
        <w:rPr>
          <w:rFonts w:hint="eastAsia" w:ascii="仿宋" w:hAnsi="仿宋" w:eastAsia="仿宋" w:cs="仿宋"/>
          <w:sz w:val="24"/>
          <w:szCs w:val="24"/>
          <w:lang w:eastAsia="zh-CN"/>
        </w:rPr>
        <w:t>响应文件</w:t>
      </w:r>
      <w:r>
        <w:rPr>
          <w:rFonts w:hint="eastAsia" w:ascii="仿宋" w:hAnsi="仿宋" w:eastAsia="仿宋" w:cs="仿宋"/>
          <w:sz w:val="24"/>
          <w:szCs w:val="24"/>
        </w:rPr>
        <w:t>中含义不明确、同类问题表述不一致或者有明显文字和计算错误的内容等作出必要的澄清、说明或者更正。</w:t>
      </w:r>
      <w:r>
        <w:rPr>
          <w:rFonts w:hint="eastAsia" w:ascii="仿宋" w:hAnsi="仿宋" w:eastAsia="仿宋" w:cs="仿宋"/>
          <w:sz w:val="24"/>
          <w:szCs w:val="24"/>
          <w:lang w:val="en-US" w:eastAsia="zh-CN"/>
        </w:rPr>
        <w:t>供应商</w:t>
      </w:r>
      <w:r>
        <w:rPr>
          <w:rFonts w:hint="eastAsia" w:ascii="仿宋" w:hAnsi="仿宋" w:eastAsia="仿宋" w:cs="仿宋"/>
          <w:sz w:val="24"/>
          <w:szCs w:val="24"/>
        </w:rPr>
        <w:t>的澄清、说明或者更正不得超出</w:t>
      </w:r>
      <w:r>
        <w:rPr>
          <w:rFonts w:hint="eastAsia" w:ascii="仿宋" w:hAnsi="仿宋" w:eastAsia="仿宋" w:cs="仿宋"/>
          <w:sz w:val="24"/>
          <w:szCs w:val="24"/>
          <w:lang w:eastAsia="zh-CN"/>
        </w:rPr>
        <w:t>响应文件</w:t>
      </w:r>
      <w:r>
        <w:rPr>
          <w:rFonts w:hint="eastAsia" w:ascii="仿宋" w:hAnsi="仿宋" w:eastAsia="仿宋" w:cs="仿宋"/>
          <w:sz w:val="24"/>
          <w:szCs w:val="24"/>
        </w:rPr>
        <w:t>的范围或者改变</w:t>
      </w:r>
      <w:r>
        <w:rPr>
          <w:rFonts w:hint="eastAsia" w:ascii="仿宋" w:hAnsi="仿宋" w:eastAsia="仿宋" w:cs="仿宋"/>
          <w:sz w:val="24"/>
          <w:szCs w:val="24"/>
          <w:lang w:eastAsia="zh-CN"/>
        </w:rPr>
        <w:t>响应文件</w:t>
      </w:r>
      <w:r>
        <w:rPr>
          <w:rFonts w:hint="eastAsia" w:ascii="仿宋" w:hAnsi="仿宋" w:eastAsia="仿宋" w:cs="仿宋"/>
          <w:sz w:val="24"/>
          <w:szCs w:val="24"/>
        </w:rPr>
        <w:t>的实质性内容。</w:t>
      </w:r>
    </w:p>
    <w:p w14:paraId="2BFFDC71">
      <w:pPr>
        <w:pageBreakBefore w:val="0"/>
        <w:kinsoku/>
        <w:wordWrap/>
        <w:overflowPunct/>
        <w:topLinePunct w:val="0"/>
        <w:autoSpaceDE/>
        <w:autoSpaceDN/>
        <w:bidi w:val="0"/>
        <w:spacing w:line="400" w:lineRule="exact"/>
        <w:ind w:leftChars="0"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（四）评审小组要求</w:t>
      </w:r>
      <w:r>
        <w:rPr>
          <w:rFonts w:hint="eastAsia" w:ascii="仿宋" w:hAnsi="仿宋" w:eastAsia="仿宋" w:cs="仿宋"/>
          <w:sz w:val="24"/>
          <w:szCs w:val="24"/>
          <w:lang w:val="en-US" w:eastAsia="zh-CN"/>
        </w:rPr>
        <w:t>供应商</w:t>
      </w:r>
      <w:r>
        <w:rPr>
          <w:rFonts w:hint="eastAsia" w:ascii="仿宋" w:hAnsi="仿宋" w:eastAsia="仿宋" w:cs="仿宋"/>
          <w:sz w:val="24"/>
          <w:szCs w:val="24"/>
        </w:rPr>
        <w:t>澄清、说明或者更正</w:t>
      </w:r>
      <w:r>
        <w:rPr>
          <w:rFonts w:hint="eastAsia" w:ascii="仿宋" w:hAnsi="仿宋" w:eastAsia="仿宋" w:cs="仿宋"/>
          <w:sz w:val="24"/>
          <w:szCs w:val="24"/>
          <w:lang w:eastAsia="zh-CN"/>
        </w:rPr>
        <w:t>响应文件</w:t>
      </w:r>
      <w:r>
        <w:rPr>
          <w:rFonts w:hint="eastAsia" w:ascii="仿宋" w:hAnsi="仿宋" w:eastAsia="仿宋" w:cs="仿宋"/>
          <w:sz w:val="24"/>
          <w:szCs w:val="24"/>
        </w:rPr>
        <w:t>应当以书面形式作出。</w:t>
      </w:r>
      <w:r>
        <w:rPr>
          <w:rFonts w:hint="eastAsia" w:ascii="仿宋" w:hAnsi="仿宋" w:eastAsia="仿宋" w:cs="仿宋"/>
          <w:sz w:val="24"/>
          <w:szCs w:val="24"/>
          <w:lang w:val="en-US" w:eastAsia="zh-CN"/>
        </w:rPr>
        <w:t>供应商</w:t>
      </w:r>
      <w:r>
        <w:rPr>
          <w:rFonts w:hint="eastAsia" w:ascii="仿宋" w:hAnsi="仿宋" w:eastAsia="仿宋" w:cs="仿宋"/>
          <w:sz w:val="24"/>
          <w:szCs w:val="24"/>
        </w:rPr>
        <w:t>的澄清、说明或者更正应当由法定代表人或其授权代表签字或者加盖公章。由授权代表签字的，应当附法定代表人授权书。</w:t>
      </w:r>
      <w:r>
        <w:rPr>
          <w:rFonts w:hint="eastAsia" w:ascii="仿宋" w:hAnsi="仿宋" w:eastAsia="仿宋" w:cs="仿宋"/>
          <w:sz w:val="24"/>
          <w:szCs w:val="24"/>
          <w:lang w:val="en-US" w:eastAsia="zh-CN"/>
        </w:rPr>
        <w:t>供应商</w:t>
      </w:r>
      <w:r>
        <w:rPr>
          <w:rFonts w:hint="eastAsia" w:ascii="仿宋" w:hAnsi="仿宋" w:eastAsia="仿宋" w:cs="仿宋"/>
          <w:sz w:val="24"/>
          <w:szCs w:val="24"/>
        </w:rPr>
        <w:t>为自然人的，应当由本人签字并附身份证明。</w:t>
      </w:r>
    </w:p>
    <w:p w14:paraId="2E5E6657">
      <w:pPr>
        <w:pageBreakBefore w:val="0"/>
        <w:kinsoku/>
        <w:wordWrap/>
        <w:overflowPunct/>
        <w:topLinePunct w:val="0"/>
        <w:autoSpaceDE/>
        <w:autoSpaceDN/>
        <w:bidi w:val="0"/>
        <w:spacing w:line="400" w:lineRule="exact"/>
        <w:ind w:leftChars="0"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（五）在比选过程中比选的任何一方不得向他人透露与比选有关的服务资料、价格或其他信息。</w:t>
      </w:r>
    </w:p>
    <w:p w14:paraId="7AB5D53F">
      <w:pPr>
        <w:pageBreakBefore w:val="0"/>
        <w:kinsoku/>
        <w:wordWrap/>
        <w:overflowPunct/>
        <w:topLinePunct w:val="0"/>
        <w:autoSpaceDE/>
        <w:autoSpaceDN/>
        <w:bidi w:val="0"/>
        <w:spacing w:line="400" w:lineRule="exact"/>
        <w:ind w:leftChars="0"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六）在比选过程中，评审小组可以根据竞争性比选文件和比选情况实质性变动采购需求中的服务、商务要求以及合同草案条款，但不得变动竞争性比选文件中的其他内容。实质性变动的内容，须经采购人代表确认。对竞争性比选文件作出的实质性变动是竞争性比选文件的有效组成部分，评审小组应当及时以书面形式同时通知所有参加比选的</w:t>
      </w:r>
      <w:r>
        <w:rPr>
          <w:rFonts w:hint="eastAsia" w:ascii="仿宋" w:hAnsi="仿宋" w:eastAsia="仿宋" w:cs="仿宋"/>
          <w:sz w:val="24"/>
          <w:szCs w:val="24"/>
          <w:lang w:val="en-US" w:eastAsia="zh-CN"/>
        </w:rPr>
        <w:t>供应商</w:t>
      </w:r>
      <w:r>
        <w:rPr>
          <w:rFonts w:hint="eastAsia" w:ascii="仿宋" w:hAnsi="仿宋" w:eastAsia="仿宋" w:cs="仿宋"/>
          <w:sz w:val="24"/>
          <w:szCs w:val="24"/>
        </w:rPr>
        <w:t>。</w:t>
      </w:r>
    </w:p>
    <w:p w14:paraId="394A3F19">
      <w:pPr>
        <w:pageBreakBefore w:val="0"/>
        <w:kinsoku/>
        <w:wordWrap/>
        <w:overflowPunct/>
        <w:topLinePunct w:val="0"/>
        <w:autoSpaceDE/>
        <w:autoSpaceDN/>
        <w:bidi w:val="0"/>
        <w:spacing w:line="400" w:lineRule="exact"/>
        <w:ind w:leftChars="0"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（七）</w:t>
      </w:r>
      <w:r>
        <w:rPr>
          <w:rFonts w:hint="eastAsia" w:ascii="仿宋" w:hAnsi="仿宋" w:eastAsia="仿宋" w:cs="仿宋"/>
          <w:sz w:val="24"/>
          <w:szCs w:val="24"/>
          <w:lang w:val="en-US" w:eastAsia="zh-CN"/>
        </w:rPr>
        <w:t>供应商</w:t>
      </w:r>
      <w:r>
        <w:rPr>
          <w:rFonts w:hint="eastAsia" w:ascii="仿宋" w:hAnsi="仿宋" w:eastAsia="仿宋" w:cs="仿宋"/>
          <w:sz w:val="24"/>
          <w:szCs w:val="24"/>
        </w:rPr>
        <w:t>在比选时作出的所有书面承诺须由法定代表人或其授权代表签字。</w:t>
      </w:r>
    </w:p>
    <w:p w14:paraId="593DC1BD">
      <w:pPr>
        <w:pageBreakBefore w:val="0"/>
        <w:kinsoku/>
        <w:wordWrap/>
        <w:overflowPunct/>
        <w:topLinePunct w:val="0"/>
        <w:autoSpaceDE/>
        <w:autoSpaceDN/>
        <w:bidi w:val="0"/>
        <w:spacing w:line="400" w:lineRule="exact"/>
        <w:ind w:leftChars="0"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（八）评审小组采用综合评分法对提交了报价的</w:t>
      </w:r>
      <w:r>
        <w:rPr>
          <w:rFonts w:hint="eastAsia" w:ascii="仿宋" w:hAnsi="仿宋" w:eastAsia="仿宋" w:cs="仿宋"/>
          <w:sz w:val="24"/>
          <w:szCs w:val="24"/>
          <w:lang w:val="en-US" w:eastAsia="zh-CN"/>
        </w:rPr>
        <w:t>供应商</w:t>
      </w:r>
      <w:r>
        <w:rPr>
          <w:rFonts w:hint="eastAsia" w:ascii="仿宋" w:hAnsi="仿宋" w:eastAsia="仿宋" w:cs="仿宋"/>
          <w:sz w:val="24"/>
          <w:szCs w:val="24"/>
        </w:rPr>
        <w:t>的</w:t>
      </w:r>
      <w:r>
        <w:rPr>
          <w:rFonts w:hint="eastAsia" w:ascii="仿宋" w:hAnsi="仿宋" w:eastAsia="仿宋" w:cs="仿宋"/>
          <w:sz w:val="24"/>
          <w:szCs w:val="24"/>
          <w:lang w:eastAsia="zh-CN"/>
        </w:rPr>
        <w:t>响应文件</w:t>
      </w:r>
      <w:r>
        <w:rPr>
          <w:rFonts w:hint="eastAsia" w:ascii="仿宋" w:hAnsi="仿宋" w:eastAsia="仿宋" w:cs="仿宋"/>
          <w:sz w:val="24"/>
          <w:szCs w:val="24"/>
        </w:rPr>
        <w:t>和报价（含有效书面承诺）进行综合评分。综合评分法，是指</w:t>
      </w:r>
      <w:r>
        <w:rPr>
          <w:rFonts w:hint="eastAsia" w:ascii="仿宋" w:hAnsi="仿宋" w:eastAsia="仿宋" w:cs="仿宋"/>
          <w:sz w:val="24"/>
          <w:szCs w:val="24"/>
          <w:lang w:eastAsia="zh-CN"/>
        </w:rPr>
        <w:t>响应文件</w:t>
      </w:r>
      <w:r>
        <w:rPr>
          <w:rFonts w:hint="eastAsia" w:ascii="仿宋" w:hAnsi="仿宋" w:eastAsia="仿宋" w:cs="仿宋"/>
          <w:sz w:val="24"/>
          <w:szCs w:val="24"/>
        </w:rPr>
        <w:t>满足竞争性比选文件全部实质性要求且按照评审因素的量化指标评审得分最高的</w:t>
      </w:r>
      <w:r>
        <w:rPr>
          <w:rFonts w:hint="eastAsia" w:ascii="仿宋" w:hAnsi="仿宋" w:eastAsia="仿宋" w:cs="仿宋"/>
          <w:sz w:val="24"/>
          <w:szCs w:val="24"/>
          <w:lang w:val="en-US" w:eastAsia="zh-CN"/>
        </w:rPr>
        <w:t>供应商</w:t>
      </w:r>
      <w:r>
        <w:rPr>
          <w:rFonts w:hint="eastAsia" w:ascii="仿宋" w:hAnsi="仿宋" w:eastAsia="仿宋" w:cs="仿宋"/>
          <w:sz w:val="24"/>
          <w:szCs w:val="24"/>
        </w:rPr>
        <w:t>为</w:t>
      </w:r>
      <w:r>
        <w:rPr>
          <w:rFonts w:hint="eastAsia" w:ascii="仿宋" w:hAnsi="仿宋" w:eastAsia="仿宋" w:cs="仿宋"/>
          <w:sz w:val="24"/>
          <w:szCs w:val="24"/>
          <w:lang w:eastAsia="zh-CN"/>
        </w:rPr>
        <w:t>中标</w:t>
      </w:r>
      <w:r>
        <w:rPr>
          <w:rFonts w:hint="eastAsia" w:ascii="仿宋" w:hAnsi="仿宋" w:eastAsia="仿宋" w:cs="仿宋"/>
          <w:sz w:val="24"/>
          <w:szCs w:val="24"/>
        </w:rPr>
        <w:t>候选人的评审方法。</w:t>
      </w:r>
      <w:r>
        <w:rPr>
          <w:rFonts w:hint="eastAsia" w:ascii="仿宋" w:hAnsi="仿宋" w:eastAsia="仿宋" w:cs="仿宋"/>
          <w:sz w:val="24"/>
          <w:szCs w:val="24"/>
          <w:lang w:val="en-US" w:eastAsia="zh-CN"/>
        </w:rPr>
        <w:t>供应商</w:t>
      </w:r>
      <w:r>
        <w:rPr>
          <w:rFonts w:hint="eastAsia" w:ascii="仿宋" w:hAnsi="仿宋" w:eastAsia="仿宋" w:cs="仿宋"/>
          <w:sz w:val="24"/>
          <w:szCs w:val="24"/>
        </w:rPr>
        <w:t>总得分为价格、服务、商务等评定因素分别按照相应权重值计算分项得分后相加，满分为100分。</w:t>
      </w:r>
    </w:p>
    <w:p w14:paraId="02FACA6E">
      <w:pPr>
        <w:pageBreakBefore w:val="0"/>
        <w:kinsoku/>
        <w:wordWrap/>
        <w:overflowPunct/>
        <w:topLinePunct w:val="0"/>
        <w:autoSpaceDE/>
        <w:autoSpaceDN/>
        <w:bidi w:val="0"/>
        <w:spacing w:line="400" w:lineRule="exact"/>
        <w:ind w:leftChars="0"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（九）评审小组各成员独立对每个有效响应（通过资格性检查、符合性检查的</w:t>
      </w:r>
      <w:r>
        <w:rPr>
          <w:rFonts w:hint="eastAsia" w:ascii="仿宋" w:hAnsi="仿宋" w:eastAsia="仿宋" w:cs="仿宋"/>
          <w:sz w:val="24"/>
          <w:szCs w:val="24"/>
          <w:lang w:val="en-US" w:eastAsia="zh-CN"/>
        </w:rPr>
        <w:t>供应商</w:t>
      </w:r>
      <w:r>
        <w:rPr>
          <w:rFonts w:hint="eastAsia" w:ascii="仿宋" w:hAnsi="仿宋" w:eastAsia="仿宋" w:cs="仿宋"/>
          <w:sz w:val="24"/>
          <w:szCs w:val="24"/>
        </w:rPr>
        <w:t>）的文件进行评价、打分，然后汇总每个</w:t>
      </w:r>
      <w:r>
        <w:rPr>
          <w:rFonts w:hint="eastAsia" w:ascii="仿宋" w:hAnsi="仿宋" w:eastAsia="仿宋" w:cs="仿宋"/>
          <w:sz w:val="24"/>
          <w:szCs w:val="24"/>
          <w:lang w:val="en-US" w:eastAsia="zh-CN"/>
        </w:rPr>
        <w:t>供应商</w:t>
      </w:r>
      <w:r>
        <w:rPr>
          <w:rFonts w:hint="eastAsia" w:ascii="仿宋" w:hAnsi="仿宋" w:eastAsia="仿宋" w:cs="仿宋"/>
          <w:sz w:val="24"/>
          <w:szCs w:val="24"/>
        </w:rPr>
        <w:t>每项评分因素的得分</w:t>
      </w:r>
      <w:r>
        <w:rPr>
          <w:rFonts w:hint="eastAsia" w:ascii="仿宋" w:hAnsi="仿宋" w:eastAsia="仿宋" w:cs="仿宋"/>
          <w:b w:val="0"/>
          <w:bCs w:val="0"/>
          <w:sz w:val="24"/>
          <w:szCs w:val="24"/>
        </w:rPr>
        <w:t>，并根据综合评分情况按照评审得分由高到低顺序推荐</w:t>
      </w:r>
      <w:r>
        <w:rPr>
          <w:rFonts w:hint="eastAsia" w:ascii="仿宋" w:hAnsi="仿宋" w:eastAsia="仿宋" w:cs="仿宋"/>
          <w:b w:val="0"/>
          <w:bCs w:val="0"/>
          <w:sz w:val="24"/>
          <w:szCs w:val="24"/>
          <w:lang w:eastAsia="zh-CN"/>
        </w:rPr>
        <w:t>中标</w:t>
      </w:r>
      <w:r>
        <w:rPr>
          <w:rFonts w:hint="eastAsia" w:ascii="仿宋" w:hAnsi="仿宋" w:eastAsia="仿宋" w:cs="仿宋"/>
          <w:b w:val="0"/>
          <w:bCs w:val="0"/>
          <w:sz w:val="24"/>
          <w:szCs w:val="24"/>
        </w:rPr>
        <w:t>候选</w:t>
      </w:r>
      <w:r>
        <w:rPr>
          <w:rFonts w:hint="eastAsia" w:ascii="仿宋" w:hAnsi="仿宋" w:eastAsia="仿宋" w:cs="仿宋"/>
          <w:b w:val="0"/>
          <w:bCs w:val="0"/>
          <w:sz w:val="24"/>
          <w:szCs w:val="24"/>
          <w:lang w:val="en-US" w:eastAsia="zh-CN"/>
        </w:rPr>
        <w:t>供应商</w:t>
      </w:r>
      <w:r>
        <w:rPr>
          <w:rFonts w:hint="eastAsia" w:ascii="仿宋" w:hAnsi="仿宋" w:eastAsia="仿宋" w:cs="仿宋"/>
          <w:b w:val="0"/>
          <w:bCs w:val="0"/>
          <w:sz w:val="24"/>
          <w:szCs w:val="24"/>
        </w:rPr>
        <w:t>，并</w:t>
      </w:r>
      <w:r>
        <w:rPr>
          <w:rFonts w:hint="eastAsia" w:ascii="仿宋" w:hAnsi="仿宋" w:eastAsia="仿宋" w:cs="仿宋"/>
          <w:sz w:val="24"/>
          <w:szCs w:val="24"/>
        </w:rPr>
        <w:t>编写评审报告。若</w:t>
      </w:r>
      <w:r>
        <w:rPr>
          <w:rFonts w:hint="eastAsia" w:ascii="仿宋" w:hAnsi="仿宋" w:eastAsia="仿宋" w:cs="仿宋"/>
          <w:sz w:val="24"/>
          <w:szCs w:val="24"/>
          <w:lang w:val="en-US" w:eastAsia="zh-CN"/>
        </w:rPr>
        <w:t>供应商</w:t>
      </w:r>
      <w:r>
        <w:rPr>
          <w:rFonts w:hint="eastAsia" w:ascii="仿宋" w:hAnsi="仿宋" w:eastAsia="仿宋" w:cs="仿宋"/>
          <w:sz w:val="24"/>
          <w:szCs w:val="24"/>
        </w:rPr>
        <w:t>的评审得分相同的，按照最后报价由低到高的顺序排列推荐。评审得分且最后报价相同的，按照服务指标优劣顺序排列推荐。以上都相同的，按商务条款的优劣顺序排列推荐。若</w:t>
      </w:r>
      <w:r>
        <w:rPr>
          <w:rFonts w:hint="eastAsia" w:ascii="仿宋" w:hAnsi="仿宋" w:eastAsia="仿宋" w:cs="仿宋"/>
          <w:sz w:val="24"/>
          <w:szCs w:val="24"/>
          <w:lang w:val="en-US" w:eastAsia="zh-CN"/>
        </w:rPr>
        <w:t>供应商</w:t>
      </w:r>
      <w:r>
        <w:rPr>
          <w:rFonts w:hint="eastAsia" w:ascii="仿宋" w:hAnsi="仿宋" w:eastAsia="仿宋" w:cs="仿宋"/>
          <w:sz w:val="24"/>
          <w:szCs w:val="24"/>
        </w:rPr>
        <w:t>的服务部分为0分，将失去成为</w:t>
      </w:r>
      <w:r>
        <w:rPr>
          <w:rFonts w:hint="eastAsia" w:ascii="仿宋" w:hAnsi="仿宋" w:eastAsia="仿宋" w:cs="仿宋"/>
          <w:sz w:val="24"/>
          <w:szCs w:val="24"/>
          <w:lang w:eastAsia="zh-CN"/>
        </w:rPr>
        <w:t>中标</w:t>
      </w:r>
      <w:r>
        <w:rPr>
          <w:rFonts w:hint="eastAsia" w:ascii="仿宋" w:hAnsi="仿宋" w:eastAsia="仿宋" w:cs="仿宋"/>
          <w:sz w:val="24"/>
          <w:szCs w:val="24"/>
        </w:rPr>
        <w:t>候选</w:t>
      </w:r>
      <w:r>
        <w:rPr>
          <w:rFonts w:hint="eastAsia" w:ascii="仿宋" w:hAnsi="仿宋" w:eastAsia="仿宋" w:cs="仿宋"/>
          <w:sz w:val="24"/>
          <w:szCs w:val="24"/>
          <w:lang w:val="en-US" w:eastAsia="zh-CN"/>
        </w:rPr>
        <w:t>供应商</w:t>
      </w:r>
      <w:r>
        <w:rPr>
          <w:rFonts w:hint="eastAsia" w:ascii="仿宋" w:hAnsi="仿宋" w:eastAsia="仿宋" w:cs="仿宋"/>
          <w:sz w:val="24"/>
          <w:szCs w:val="24"/>
        </w:rPr>
        <w:t>的资格。</w:t>
      </w:r>
    </w:p>
    <w:p w14:paraId="4CEAFA1A">
      <w:pPr>
        <w:pStyle w:val="3"/>
        <w:pageBreakBefore w:val="0"/>
        <w:widowControl w:val="0"/>
        <w:kinsoku/>
        <w:wordWrap/>
        <w:overflowPunct/>
        <w:topLinePunct w:val="0"/>
        <w:autoSpaceDE/>
        <w:autoSpaceDN/>
        <w:bidi w:val="0"/>
        <w:spacing w:line="400" w:lineRule="exact"/>
        <w:ind w:firstLine="482" w:firstLineChars="200"/>
        <w:textAlignment w:val="auto"/>
        <w:rPr>
          <w:rFonts w:hint="eastAsia" w:ascii="仿宋" w:hAnsi="仿宋" w:eastAsia="仿宋" w:cs="仿宋"/>
          <w:b/>
          <w:bCs/>
          <w:color w:val="auto"/>
          <w:sz w:val="24"/>
          <w:szCs w:val="24"/>
          <w:highlight w:val="none"/>
          <w:lang w:val="en-US" w:eastAsia="zh-CN"/>
        </w:rPr>
      </w:pPr>
      <w:bookmarkStart w:id="104" w:name="_Toc27370"/>
      <w:bookmarkStart w:id="105" w:name="_Toc4170"/>
      <w:bookmarkStart w:id="106" w:name="_Toc21542"/>
      <w:bookmarkStart w:id="107" w:name="_Toc28213"/>
      <w:r>
        <w:rPr>
          <w:rFonts w:hint="eastAsia" w:ascii="仿宋" w:hAnsi="仿宋" w:eastAsia="仿宋" w:cs="仿宋"/>
          <w:b/>
          <w:bCs/>
          <w:color w:val="auto"/>
          <w:sz w:val="24"/>
          <w:szCs w:val="24"/>
          <w:highlight w:val="none"/>
          <w:lang w:val="en-US" w:eastAsia="zh-CN"/>
        </w:rPr>
        <w:t>二、评审标准</w:t>
      </w:r>
      <w:bookmarkEnd w:id="104"/>
      <w:bookmarkEnd w:id="105"/>
      <w:bookmarkEnd w:id="106"/>
      <w:bookmarkEnd w:id="107"/>
    </w:p>
    <w:tbl>
      <w:tblPr>
        <w:tblStyle w:val="24"/>
        <w:tblpPr w:leftFromText="180" w:rightFromText="180" w:vertAnchor="text" w:horzAnchor="page" w:tblpX="1305" w:tblpY="390"/>
        <w:tblOverlap w:val="never"/>
        <w:tblW w:w="972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4"/>
        <w:gridCol w:w="1250"/>
        <w:gridCol w:w="1277"/>
        <w:gridCol w:w="4145"/>
        <w:gridCol w:w="2475"/>
      </w:tblGrid>
      <w:tr w14:paraId="06558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74" w:type="dxa"/>
            <w:vAlign w:val="center"/>
          </w:tcPr>
          <w:p w14:paraId="04F5B1BD">
            <w:pPr>
              <w:keepNext w:val="0"/>
              <w:keepLines w:val="0"/>
              <w:pageBreakBefore w:val="0"/>
              <w:widowControl w:val="0"/>
              <w:kinsoku/>
              <w:wordWrap/>
              <w:overflowPunct/>
              <w:topLinePunct w:val="0"/>
              <w:autoSpaceDE/>
              <w:autoSpaceDN/>
              <w:bidi w:val="0"/>
              <w:adjustRightInd/>
              <w:spacing w:line="400" w:lineRule="exact"/>
              <w:ind w:leftChars="0"/>
              <w:jc w:val="both"/>
              <w:textAlignment w:val="auto"/>
              <w:rPr>
                <w:rFonts w:hint="eastAsia" w:ascii="仿宋" w:hAnsi="仿宋" w:eastAsia="仿宋" w:cs="仿宋"/>
                <w:b/>
                <w:bCs w:val="0"/>
                <w:color w:val="auto"/>
                <w:sz w:val="24"/>
                <w:szCs w:val="24"/>
                <w:highlight w:val="none"/>
              </w:rPr>
            </w:pPr>
            <w:r>
              <w:rPr>
                <w:rFonts w:hint="eastAsia" w:ascii="仿宋" w:hAnsi="仿宋" w:eastAsia="仿宋" w:cs="仿宋"/>
                <w:b/>
                <w:bCs w:val="0"/>
                <w:sz w:val="24"/>
                <w:szCs w:val="24"/>
              </w:rPr>
              <w:t>序号</w:t>
            </w:r>
          </w:p>
        </w:tc>
        <w:tc>
          <w:tcPr>
            <w:tcW w:w="1250" w:type="dxa"/>
            <w:vAlign w:val="center"/>
          </w:tcPr>
          <w:p w14:paraId="60B1C310">
            <w:pPr>
              <w:pageBreakBefore w:val="0"/>
              <w:kinsoku/>
              <w:wordWrap/>
              <w:overflowPunct/>
              <w:topLinePunct w:val="0"/>
              <w:autoSpaceDE/>
              <w:autoSpaceDN/>
              <w:bidi w:val="0"/>
              <w:spacing w:line="400" w:lineRule="exact"/>
              <w:ind w:leftChars="0" w:firstLine="28"/>
              <w:jc w:val="center"/>
              <w:textAlignment w:val="auto"/>
              <w:rPr>
                <w:rFonts w:hint="eastAsia" w:ascii="仿宋" w:hAnsi="仿宋" w:eastAsia="仿宋" w:cs="仿宋"/>
                <w:b/>
                <w:bCs w:val="0"/>
                <w:sz w:val="24"/>
                <w:szCs w:val="24"/>
              </w:rPr>
            </w:pPr>
            <w:r>
              <w:rPr>
                <w:rFonts w:hint="eastAsia" w:ascii="仿宋" w:hAnsi="仿宋" w:eastAsia="仿宋" w:cs="仿宋"/>
                <w:b/>
                <w:bCs w:val="0"/>
                <w:sz w:val="24"/>
                <w:szCs w:val="24"/>
              </w:rPr>
              <w:t>评分因素</w:t>
            </w:r>
          </w:p>
          <w:p w14:paraId="457373FD">
            <w:pPr>
              <w:keepNext w:val="0"/>
              <w:keepLines w:val="0"/>
              <w:pageBreakBefore w:val="0"/>
              <w:widowControl w:val="0"/>
              <w:kinsoku/>
              <w:wordWrap/>
              <w:overflowPunct/>
              <w:topLinePunct w:val="0"/>
              <w:autoSpaceDE/>
              <w:autoSpaceDN/>
              <w:bidi w:val="0"/>
              <w:adjustRightInd/>
              <w:spacing w:line="400" w:lineRule="exact"/>
              <w:ind w:leftChars="0"/>
              <w:jc w:val="center"/>
              <w:textAlignment w:val="auto"/>
              <w:rPr>
                <w:rFonts w:hint="eastAsia" w:ascii="仿宋" w:hAnsi="仿宋" w:eastAsia="仿宋" w:cs="仿宋"/>
                <w:b/>
                <w:bCs w:val="0"/>
                <w:color w:val="auto"/>
                <w:sz w:val="24"/>
                <w:szCs w:val="24"/>
                <w:highlight w:val="none"/>
              </w:rPr>
            </w:pPr>
            <w:r>
              <w:rPr>
                <w:rFonts w:hint="eastAsia" w:ascii="仿宋" w:hAnsi="仿宋" w:eastAsia="仿宋" w:cs="仿宋"/>
                <w:b/>
                <w:bCs w:val="0"/>
                <w:sz w:val="24"/>
                <w:szCs w:val="24"/>
              </w:rPr>
              <w:t>及权重</w:t>
            </w:r>
          </w:p>
        </w:tc>
        <w:tc>
          <w:tcPr>
            <w:tcW w:w="1277" w:type="dxa"/>
            <w:vAlign w:val="center"/>
          </w:tcPr>
          <w:p w14:paraId="55268B77">
            <w:pPr>
              <w:keepNext w:val="0"/>
              <w:keepLines w:val="0"/>
              <w:pageBreakBefore w:val="0"/>
              <w:widowControl w:val="0"/>
              <w:kinsoku/>
              <w:wordWrap/>
              <w:overflowPunct/>
              <w:topLinePunct w:val="0"/>
              <w:autoSpaceDE/>
              <w:autoSpaceDN/>
              <w:bidi w:val="0"/>
              <w:adjustRightInd/>
              <w:spacing w:line="400" w:lineRule="exact"/>
              <w:ind w:leftChars="0"/>
              <w:jc w:val="center"/>
              <w:textAlignment w:val="auto"/>
              <w:rPr>
                <w:rFonts w:hint="eastAsia" w:ascii="仿宋" w:hAnsi="仿宋" w:eastAsia="仿宋" w:cs="仿宋"/>
                <w:b/>
                <w:bCs w:val="0"/>
                <w:color w:val="auto"/>
                <w:sz w:val="24"/>
                <w:szCs w:val="24"/>
                <w:highlight w:val="none"/>
                <w:lang w:val="en-US" w:eastAsia="zh-CN"/>
              </w:rPr>
            </w:pPr>
            <w:r>
              <w:rPr>
                <w:rFonts w:hint="eastAsia" w:ascii="仿宋" w:hAnsi="仿宋" w:eastAsia="仿宋" w:cs="仿宋"/>
                <w:b/>
                <w:bCs w:val="0"/>
                <w:sz w:val="24"/>
                <w:szCs w:val="24"/>
              </w:rPr>
              <w:t>分值</w:t>
            </w:r>
          </w:p>
        </w:tc>
        <w:tc>
          <w:tcPr>
            <w:tcW w:w="4145" w:type="dxa"/>
          </w:tcPr>
          <w:p w14:paraId="7C763106">
            <w:pPr>
              <w:pageBreakBefore w:val="0"/>
              <w:kinsoku/>
              <w:wordWrap/>
              <w:overflowPunct/>
              <w:topLinePunct w:val="0"/>
              <w:autoSpaceDE/>
              <w:autoSpaceDN/>
              <w:bidi w:val="0"/>
              <w:spacing w:line="400" w:lineRule="exact"/>
              <w:ind w:leftChars="0" w:firstLine="1446" w:firstLineChars="600"/>
              <w:jc w:val="both"/>
              <w:textAlignment w:val="auto"/>
              <w:rPr>
                <w:rFonts w:hint="eastAsia" w:ascii="仿宋" w:hAnsi="仿宋" w:eastAsia="仿宋" w:cs="仿宋"/>
                <w:sz w:val="24"/>
                <w:szCs w:val="24"/>
                <w:lang w:val="en-US" w:eastAsia="zh-CN"/>
              </w:rPr>
            </w:pPr>
            <w:r>
              <w:rPr>
                <w:rFonts w:hint="eastAsia" w:ascii="仿宋" w:hAnsi="仿宋" w:eastAsia="仿宋" w:cs="仿宋"/>
                <w:b/>
                <w:bCs w:val="0"/>
                <w:sz w:val="24"/>
                <w:szCs w:val="24"/>
                <w:lang w:val="en-US" w:eastAsia="zh-CN"/>
              </w:rPr>
              <w:t>评分标准</w:t>
            </w:r>
          </w:p>
        </w:tc>
        <w:tc>
          <w:tcPr>
            <w:tcW w:w="2475" w:type="dxa"/>
            <w:vAlign w:val="center"/>
          </w:tcPr>
          <w:p w14:paraId="0E981524">
            <w:pPr>
              <w:keepNext w:val="0"/>
              <w:keepLines w:val="0"/>
              <w:pageBreakBefore w:val="0"/>
              <w:widowControl w:val="0"/>
              <w:kinsoku/>
              <w:wordWrap/>
              <w:overflowPunct/>
              <w:topLinePunct w:val="0"/>
              <w:autoSpaceDE/>
              <w:autoSpaceDN/>
              <w:bidi w:val="0"/>
              <w:adjustRightInd/>
              <w:spacing w:line="400" w:lineRule="exact"/>
              <w:ind w:leftChars="0" w:firstLine="482" w:firstLineChars="200"/>
              <w:jc w:val="center"/>
              <w:textAlignment w:val="auto"/>
              <w:rPr>
                <w:rFonts w:hint="eastAsia" w:ascii="仿宋" w:hAnsi="仿宋" w:eastAsia="仿宋" w:cs="仿宋"/>
                <w:b/>
                <w:bCs w:val="0"/>
                <w:sz w:val="24"/>
                <w:szCs w:val="24"/>
                <w:lang w:val="en-US" w:eastAsia="zh-CN"/>
              </w:rPr>
            </w:pPr>
            <w:r>
              <w:rPr>
                <w:rFonts w:hint="eastAsia" w:ascii="仿宋" w:hAnsi="仿宋" w:eastAsia="仿宋" w:cs="仿宋"/>
                <w:b/>
                <w:bCs w:val="0"/>
                <w:sz w:val="24"/>
                <w:szCs w:val="24"/>
              </w:rPr>
              <w:t>说明</w:t>
            </w:r>
          </w:p>
        </w:tc>
      </w:tr>
      <w:tr w14:paraId="1A4A8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74" w:type="dxa"/>
            <w:vAlign w:val="center"/>
          </w:tcPr>
          <w:p w14:paraId="06A1C4EA">
            <w:pPr>
              <w:keepNext w:val="0"/>
              <w:keepLines w:val="0"/>
              <w:pageBreakBefore w:val="0"/>
              <w:widowControl w:val="0"/>
              <w:kinsoku/>
              <w:wordWrap/>
              <w:overflowPunct/>
              <w:topLinePunct w:val="0"/>
              <w:autoSpaceDE/>
              <w:autoSpaceDN/>
              <w:bidi w:val="0"/>
              <w:adjustRightInd/>
              <w:spacing w:line="400" w:lineRule="exact"/>
              <w:jc w:val="left"/>
              <w:textAlignment w:val="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1</w:t>
            </w:r>
          </w:p>
        </w:tc>
        <w:tc>
          <w:tcPr>
            <w:tcW w:w="1250" w:type="dxa"/>
            <w:vAlign w:val="center"/>
          </w:tcPr>
          <w:p w14:paraId="0ECA6DD4">
            <w:pPr>
              <w:keepNext w:val="0"/>
              <w:keepLines w:val="0"/>
              <w:pageBreakBefore w:val="0"/>
              <w:widowControl w:val="0"/>
              <w:kinsoku/>
              <w:wordWrap/>
              <w:overflowPunct/>
              <w:topLinePunct w:val="0"/>
              <w:autoSpaceDE/>
              <w:autoSpaceDN/>
              <w:bidi w:val="0"/>
              <w:adjustRightInd/>
              <w:spacing w:line="400" w:lineRule="exact"/>
              <w:ind w:leftChars="0"/>
              <w:jc w:val="left"/>
              <w:textAlignment w:val="auto"/>
              <w:rPr>
                <w:rFonts w:hint="eastAsia" w:ascii="仿宋" w:hAnsi="仿宋" w:eastAsia="仿宋" w:cs="仿宋"/>
                <w:b w:val="0"/>
                <w:bCs w:val="0"/>
                <w:color w:val="auto"/>
                <w:sz w:val="24"/>
                <w:szCs w:val="24"/>
                <w:highlight w:val="none"/>
                <w:lang w:eastAsia="zh-CN"/>
              </w:rPr>
            </w:pPr>
            <w:r>
              <w:rPr>
                <w:rFonts w:hint="eastAsia" w:ascii="仿宋" w:hAnsi="仿宋" w:eastAsia="仿宋" w:cs="仿宋"/>
                <w:b w:val="0"/>
                <w:bCs w:val="0"/>
                <w:color w:val="auto"/>
                <w:sz w:val="24"/>
                <w:szCs w:val="24"/>
                <w:highlight w:val="none"/>
              </w:rPr>
              <w:t>投标报价</w:t>
            </w:r>
            <w:r>
              <w:rPr>
                <w:rFonts w:hint="eastAsia" w:ascii="仿宋" w:hAnsi="仿宋" w:eastAsia="仿宋" w:cs="仿宋"/>
                <w:b w:val="0"/>
                <w:bCs w:val="0"/>
                <w:color w:val="auto"/>
                <w:sz w:val="24"/>
                <w:szCs w:val="24"/>
                <w:highlight w:val="none"/>
                <w:lang w:eastAsia="zh-CN"/>
              </w:rPr>
              <w:t>（</w:t>
            </w:r>
            <w:r>
              <w:rPr>
                <w:rFonts w:hint="eastAsia" w:ascii="仿宋" w:hAnsi="仿宋" w:eastAsia="仿宋" w:cs="仿宋"/>
                <w:b w:val="0"/>
                <w:bCs w:val="0"/>
                <w:color w:val="auto"/>
                <w:sz w:val="24"/>
                <w:szCs w:val="24"/>
                <w:highlight w:val="none"/>
                <w:lang w:val="en-US" w:eastAsia="zh-CN"/>
              </w:rPr>
              <w:t>20</w:t>
            </w:r>
            <w:r>
              <w:rPr>
                <w:rFonts w:hint="eastAsia" w:ascii="仿宋" w:hAnsi="仿宋" w:eastAsia="仿宋" w:cs="仿宋"/>
                <w:b w:val="0"/>
                <w:bCs w:val="0"/>
                <w:color w:val="auto"/>
                <w:sz w:val="24"/>
                <w:szCs w:val="24"/>
                <w:highlight w:val="none"/>
              </w:rPr>
              <w:t>%</w:t>
            </w:r>
            <w:r>
              <w:rPr>
                <w:rFonts w:hint="eastAsia" w:ascii="仿宋" w:hAnsi="仿宋" w:eastAsia="仿宋" w:cs="仿宋"/>
                <w:b w:val="0"/>
                <w:bCs w:val="0"/>
                <w:color w:val="auto"/>
                <w:sz w:val="24"/>
                <w:szCs w:val="24"/>
                <w:highlight w:val="none"/>
                <w:lang w:eastAsia="zh-CN"/>
              </w:rPr>
              <w:t>）</w:t>
            </w:r>
          </w:p>
        </w:tc>
        <w:tc>
          <w:tcPr>
            <w:tcW w:w="1277" w:type="dxa"/>
            <w:vAlign w:val="center"/>
          </w:tcPr>
          <w:p w14:paraId="4DC68F4F">
            <w:pPr>
              <w:keepNext w:val="0"/>
              <w:keepLines w:val="0"/>
              <w:pageBreakBefore w:val="0"/>
              <w:widowControl w:val="0"/>
              <w:kinsoku/>
              <w:wordWrap/>
              <w:overflowPunct/>
              <w:topLinePunct w:val="0"/>
              <w:autoSpaceDE/>
              <w:autoSpaceDN/>
              <w:bidi w:val="0"/>
              <w:adjustRightInd/>
              <w:spacing w:line="400" w:lineRule="exact"/>
              <w:ind w:leftChars="0"/>
              <w:jc w:val="left"/>
              <w:textAlignment w:val="auto"/>
              <w:rPr>
                <w:rFonts w:hint="eastAsia" w:ascii="仿宋" w:hAnsi="仿宋" w:eastAsia="仿宋" w:cs="仿宋"/>
                <w:b w:val="0"/>
                <w:bCs w:val="0"/>
                <w:color w:val="auto"/>
                <w:sz w:val="24"/>
                <w:szCs w:val="24"/>
                <w:highlight w:val="none"/>
                <w:lang w:eastAsia="zh-CN"/>
              </w:rPr>
            </w:pPr>
            <w:r>
              <w:rPr>
                <w:rFonts w:hint="eastAsia" w:ascii="仿宋" w:hAnsi="仿宋" w:eastAsia="仿宋" w:cs="仿宋"/>
                <w:b w:val="0"/>
                <w:bCs w:val="0"/>
                <w:color w:val="auto"/>
                <w:sz w:val="24"/>
                <w:szCs w:val="24"/>
                <w:highlight w:val="none"/>
                <w:lang w:val="en-US" w:eastAsia="zh-CN"/>
              </w:rPr>
              <w:t>报价（20</w:t>
            </w:r>
            <w:r>
              <w:rPr>
                <w:rFonts w:hint="eastAsia" w:ascii="仿宋" w:hAnsi="仿宋" w:eastAsia="仿宋" w:cs="仿宋"/>
                <w:b w:val="0"/>
                <w:bCs w:val="0"/>
                <w:color w:val="auto"/>
                <w:sz w:val="24"/>
                <w:szCs w:val="24"/>
                <w:highlight w:val="none"/>
              </w:rPr>
              <w:t>分</w:t>
            </w:r>
            <w:r>
              <w:rPr>
                <w:rFonts w:hint="eastAsia" w:ascii="仿宋" w:hAnsi="仿宋" w:eastAsia="仿宋" w:cs="仿宋"/>
                <w:b w:val="0"/>
                <w:bCs w:val="0"/>
                <w:color w:val="auto"/>
                <w:sz w:val="24"/>
                <w:szCs w:val="24"/>
                <w:highlight w:val="none"/>
                <w:lang w:eastAsia="zh-CN"/>
              </w:rPr>
              <w:t>）</w:t>
            </w:r>
          </w:p>
        </w:tc>
        <w:tc>
          <w:tcPr>
            <w:tcW w:w="4145" w:type="dxa"/>
          </w:tcPr>
          <w:p w14:paraId="3405E418">
            <w:pPr>
              <w:keepNext w:val="0"/>
              <w:keepLines w:val="0"/>
              <w:pageBreakBefore w:val="0"/>
              <w:widowControl w:val="0"/>
              <w:kinsoku/>
              <w:wordWrap/>
              <w:overflowPunct/>
              <w:topLinePunct w:val="0"/>
              <w:autoSpaceDE/>
              <w:autoSpaceDN/>
              <w:bidi w:val="0"/>
              <w:adjustRightInd/>
              <w:spacing w:line="400" w:lineRule="exact"/>
              <w:ind w:leftChars="0" w:firstLine="480" w:firstLineChars="200"/>
              <w:jc w:val="both"/>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sz w:val="24"/>
                <w:szCs w:val="24"/>
              </w:rPr>
              <w:t>满足比选文件要求且投标价格最低的投标报价为评标基准价，其价格分为满分。其他</w:t>
            </w:r>
            <w:r>
              <w:rPr>
                <w:rFonts w:hint="eastAsia" w:ascii="仿宋" w:hAnsi="仿宋" w:eastAsia="仿宋" w:cs="仿宋"/>
                <w:b w:val="0"/>
                <w:bCs w:val="0"/>
                <w:sz w:val="24"/>
                <w:szCs w:val="24"/>
                <w:lang w:val="en-US" w:eastAsia="zh-CN"/>
              </w:rPr>
              <w:t>供应商</w:t>
            </w:r>
            <w:r>
              <w:rPr>
                <w:rFonts w:hint="eastAsia" w:ascii="仿宋" w:hAnsi="仿宋" w:eastAsia="仿宋" w:cs="仿宋"/>
                <w:b w:val="0"/>
                <w:bCs w:val="0"/>
                <w:sz w:val="24"/>
                <w:szCs w:val="24"/>
              </w:rPr>
              <w:t>的价格分统一按照下列公式计算：投标报价得分＝（评标基准价/投标报价）×价格权重×100。</w:t>
            </w:r>
          </w:p>
        </w:tc>
        <w:tc>
          <w:tcPr>
            <w:tcW w:w="2475" w:type="dxa"/>
            <w:vAlign w:val="center"/>
          </w:tcPr>
          <w:p w14:paraId="4ADC062B">
            <w:pPr>
              <w:pStyle w:val="11"/>
              <w:pageBreakBefore w:val="0"/>
              <w:kinsoku/>
              <w:wordWrap/>
              <w:overflowPunct/>
              <w:topLinePunct w:val="0"/>
              <w:autoSpaceDE/>
              <w:autoSpaceDN/>
              <w:bidi w:val="0"/>
              <w:spacing w:line="400" w:lineRule="exact"/>
              <w:ind w:left="0"/>
              <w:jc w:val="both"/>
              <w:textAlignment w:val="auto"/>
              <w:outlineLvl w:val="0"/>
              <w:rPr>
                <w:rFonts w:hint="eastAsia" w:ascii="仿宋" w:hAnsi="仿宋" w:eastAsia="仿宋" w:cs="仿宋"/>
                <w:b w:val="0"/>
                <w:bCs w:val="0"/>
                <w:color w:val="auto"/>
                <w:sz w:val="24"/>
                <w:szCs w:val="24"/>
                <w:highlight w:val="none"/>
              </w:rPr>
            </w:pPr>
            <w:r>
              <w:rPr>
                <w:rFonts w:hint="eastAsia" w:ascii="仿宋" w:hAnsi="仿宋" w:eastAsia="仿宋" w:cs="仿宋"/>
                <w:b w:val="0"/>
                <w:bCs w:val="0"/>
                <w:sz w:val="24"/>
                <w:szCs w:val="24"/>
                <w:lang w:val="en-US" w:eastAsia="zh-CN"/>
              </w:rPr>
              <w:t>高于</w:t>
            </w:r>
            <w:r>
              <w:rPr>
                <w:rFonts w:hint="eastAsia" w:ascii="仿宋" w:hAnsi="仿宋" w:eastAsia="仿宋" w:cs="仿宋"/>
                <w:b w:val="0"/>
                <w:bCs w:val="0"/>
                <w:sz w:val="24"/>
                <w:szCs w:val="24"/>
                <w:highlight w:val="none"/>
              </w:rPr>
              <w:t>最高限价</w:t>
            </w:r>
            <w:r>
              <w:rPr>
                <w:rFonts w:hint="eastAsia" w:ascii="仿宋" w:hAnsi="仿宋" w:eastAsia="仿宋" w:cs="仿宋"/>
                <w:b w:val="0"/>
                <w:bCs w:val="0"/>
                <w:sz w:val="24"/>
                <w:szCs w:val="24"/>
                <w:highlight w:val="none"/>
                <w:lang w:eastAsia="zh-CN"/>
              </w:rPr>
              <w:t>的</w:t>
            </w:r>
            <w:r>
              <w:rPr>
                <w:rFonts w:hint="eastAsia" w:ascii="仿宋" w:hAnsi="仿宋" w:eastAsia="仿宋" w:cs="仿宋"/>
                <w:b w:val="0"/>
                <w:bCs w:val="0"/>
                <w:sz w:val="24"/>
                <w:szCs w:val="24"/>
                <w:highlight w:val="none"/>
                <w:lang w:val="en-US" w:eastAsia="zh-CN"/>
              </w:rPr>
              <w:t>报价</w:t>
            </w:r>
            <w:r>
              <w:rPr>
                <w:rFonts w:hint="eastAsia" w:ascii="仿宋" w:hAnsi="仿宋" w:eastAsia="仿宋" w:cs="仿宋"/>
                <w:b w:val="0"/>
                <w:bCs w:val="0"/>
                <w:sz w:val="24"/>
                <w:szCs w:val="24"/>
                <w:lang w:val="en-US" w:eastAsia="zh-CN"/>
              </w:rPr>
              <w:t>为无效报价</w:t>
            </w:r>
          </w:p>
        </w:tc>
      </w:tr>
      <w:tr w14:paraId="3B68D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74" w:type="dxa"/>
            <w:vMerge w:val="restart"/>
            <w:vAlign w:val="center"/>
          </w:tcPr>
          <w:p w14:paraId="5C311A81">
            <w:pPr>
              <w:keepNext w:val="0"/>
              <w:keepLines w:val="0"/>
              <w:pageBreakBefore w:val="0"/>
              <w:widowControl w:val="0"/>
              <w:kinsoku/>
              <w:wordWrap/>
              <w:overflowPunct/>
              <w:topLinePunct w:val="0"/>
              <w:autoSpaceDE/>
              <w:autoSpaceDN/>
              <w:bidi w:val="0"/>
              <w:adjustRightInd/>
              <w:snapToGrid w:val="0"/>
              <w:spacing w:line="400" w:lineRule="exact"/>
              <w:jc w:val="left"/>
              <w:textAlignment w:val="auto"/>
              <w:outlineLvl w:val="9"/>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2</w:t>
            </w:r>
          </w:p>
        </w:tc>
        <w:tc>
          <w:tcPr>
            <w:tcW w:w="1250" w:type="dxa"/>
            <w:vMerge w:val="restart"/>
            <w:vAlign w:val="center"/>
          </w:tcPr>
          <w:p w14:paraId="3E8A223F">
            <w:pPr>
              <w:keepNext w:val="0"/>
              <w:keepLines w:val="0"/>
              <w:pageBreakBefore w:val="0"/>
              <w:widowControl w:val="0"/>
              <w:kinsoku/>
              <w:wordWrap/>
              <w:overflowPunct/>
              <w:topLinePunct w:val="0"/>
              <w:autoSpaceDE/>
              <w:autoSpaceDN/>
              <w:bidi w:val="0"/>
              <w:adjustRightInd/>
              <w:spacing w:line="400" w:lineRule="exact"/>
              <w:ind w:leftChars="0"/>
              <w:jc w:val="left"/>
              <w:textAlignment w:val="auto"/>
              <w:outlineLvl w:val="9"/>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服务部分</w:t>
            </w:r>
          </w:p>
          <w:p w14:paraId="455C9A4B">
            <w:pPr>
              <w:pageBreakBefore w:val="0"/>
              <w:kinsoku/>
              <w:wordWrap/>
              <w:overflowPunct/>
              <w:topLinePunct w:val="0"/>
              <w:autoSpaceDE/>
              <w:autoSpaceDN/>
              <w:bidi w:val="0"/>
              <w:spacing w:line="400" w:lineRule="exact"/>
              <w:textAlignment w:val="auto"/>
              <w:outlineLvl w:val="9"/>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b w:val="0"/>
                <w:bCs w:val="0"/>
                <w:color w:val="auto"/>
                <w:kern w:val="2"/>
                <w:sz w:val="24"/>
                <w:szCs w:val="24"/>
                <w:highlight w:val="none"/>
                <w:lang w:val="en-US" w:eastAsia="zh-CN" w:bidi="ar-SA"/>
              </w:rPr>
              <w:t>（60%）</w:t>
            </w:r>
          </w:p>
          <w:p w14:paraId="36C4BE84">
            <w:pPr>
              <w:pageBreakBefore w:val="0"/>
              <w:kinsoku/>
              <w:wordWrap/>
              <w:overflowPunct/>
              <w:topLinePunct w:val="0"/>
              <w:autoSpaceDE/>
              <w:autoSpaceDN/>
              <w:bidi w:val="0"/>
              <w:spacing w:line="400" w:lineRule="exact"/>
              <w:textAlignment w:val="auto"/>
              <w:outlineLvl w:val="9"/>
              <w:rPr>
                <w:rFonts w:hint="eastAsia" w:ascii="仿宋" w:hAnsi="仿宋" w:eastAsia="仿宋" w:cs="仿宋"/>
                <w:b w:val="0"/>
                <w:bCs w:val="0"/>
                <w:sz w:val="24"/>
                <w:szCs w:val="24"/>
                <w:lang w:val="en-US" w:eastAsia="zh-CN"/>
              </w:rPr>
            </w:pPr>
          </w:p>
        </w:tc>
        <w:tc>
          <w:tcPr>
            <w:tcW w:w="1277" w:type="dxa"/>
            <w:vAlign w:val="center"/>
          </w:tcPr>
          <w:p w14:paraId="0BC261E3">
            <w:pPr>
              <w:keepNext w:val="0"/>
              <w:keepLines w:val="0"/>
              <w:pageBreakBefore w:val="0"/>
              <w:widowControl w:val="0"/>
              <w:kinsoku/>
              <w:wordWrap/>
              <w:overflowPunct/>
              <w:topLinePunct w:val="0"/>
              <w:autoSpaceDE/>
              <w:autoSpaceDN/>
              <w:bidi w:val="0"/>
              <w:adjustRightInd/>
              <w:spacing w:line="400" w:lineRule="exact"/>
              <w:jc w:val="both"/>
              <w:textAlignment w:val="auto"/>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rPr>
              <w:t>承保服务方案（20分）</w:t>
            </w:r>
          </w:p>
        </w:tc>
        <w:tc>
          <w:tcPr>
            <w:tcW w:w="4145" w:type="dxa"/>
            <w:shd w:val="clear" w:color="auto" w:fill="auto"/>
            <w:vAlign w:val="center"/>
          </w:tcPr>
          <w:p w14:paraId="247DC00D">
            <w:pPr>
              <w:keepNext w:val="0"/>
              <w:keepLines w:val="0"/>
              <w:pageBreakBefore w:val="0"/>
              <w:widowControl w:val="0"/>
              <w:kinsoku/>
              <w:wordWrap/>
              <w:overflowPunct/>
              <w:topLinePunct w:val="0"/>
              <w:autoSpaceDE/>
              <w:autoSpaceDN/>
              <w:bidi w:val="0"/>
              <w:adjustRightInd/>
              <w:spacing w:line="400" w:lineRule="exact"/>
              <w:ind w:leftChars="0" w:firstLine="480" w:firstLineChars="200"/>
              <w:jc w:val="both"/>
              <w:textAlignment w:val="auto"/>
              <w:rPr>
                <w:rFonts w:hint="eastAsia" w:ascii="仿宋" w:hAnsi="仿宋" w:eastAsia="仿宋" w:cs="仿宋"/>
                <w:b w:val="0"/>
                <w:bCs w:val="0"/>
                <w:sz w:val="24"/>
                <w:szCs w:val="24"/>
              </w:rPr>
            </w:pPr>
            <w:r>
              <w:rPr>
                <w:rFonts w:hint="eastAsia" w:ascii="仿宋" w:hAnsi="仿宋" w:eastAsia="仿宋" w:cs="仿宋"/>
                <w:b w:val="0"/>
                <w:bCs w:val="0"/>
                <w:sz w:val="24"/>
                <w:szCs w:val="24"/>
              </w:rPr>
              <w:t>供应商应结合本项目实际，提供承保服务方案。方案包含：承保流程、保单出具时效、客户服务机制、人员配置、服务响应时效。根据方案内容进行评分。</w:t>
            </w:r>
          </w:p>
          <w:p w14:paraId="0A113D4A">
            <w:pPr>
              <w:keepNext w:val="0"/>
              <w:keepLines w:val="0"/>
              <w:pageBreakBefore w:val="0"/>
              <w:widowControl w:val="0"/>
              <w:kinsoku/>
              <w:wordWrap/>
              <w:overflowPunct/>
              <w:topLinePunct w:val="0"/>
              <w:autoSpaceDE/>
              <w:autoSpaceDN/>
              <w:bidi w:val="0"/>
              <w:adjustRightInd/>
              <w:spacing w:line="400" w:lineRule="exact"/>
              <w:ind w:leftChars="0" w:firstLine="480" w:firstLineChars="200"/>
              <w:jc w:val="both"/>
              <w:textAlignment w:val="auto"/>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方案内容不存在瑕疵得20分；</w:t>
            </w:r>
          </w:p>
          <w:p w14:paraId="5CA51109">
            <w:pPr>
              <w:keepNext w:val="0"/>
              <w:keepLines w:val="0"/>
              <w:pageBreakBefore w:val="0"/>
              <w:widowControl w:val="0"/>
              <w:kinsoku/>
              <w:wordWrap/>
              <w:overflowPunct/>
              <w:topLinePunct w:val="0"/>
              <w:autoSpaceDE/>
              <w:autoSpaceDN/>
              <w:bidi w:val="0"/>
              <w:adjustRightInd/>
              <w:spacing w:line="400" w:lineRule="exact"/>
              <w:ind w:leftChars="0" w:firstLine="480" w:firstLineChars="200"/>
              <w:jc w:val="both"/>
              <w:textAlignment w:val="auto"/>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方案内容存在1处瑕疵得15分；</w:t>
            </w:r>
          </w:p>
          <w:p w14:paraId="4C3AFB5C">
            <w:pPr>
              <w:keepNext w:val="0"/>
              <w:keepLines w:val="0"/>
              <w:pageBreakBefore w:val="0"/>
              <w:widowControl w:val="0"/>
              <w:kinsoku/>
              <w:wordWrap/>
              <w:overflowPunct/>
              <w:topLinePunct w:val="0"/>
              <w:autoSpaceDE/>
              <w:autoSpaceDN/>
              <w:bidi w:val="0"/>
              <w:adjustRightInd/>
              <w:spacing w:line="400" w:lineRule="exact"/>
              <w:ind w:leftChars="0" w:firstLine="480" w:firstLineChars="200"/>
              <w:jc w:val="both"/>
              <w:textAlignment w:val="auto"/>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方案内容存在2处瑕疵得10分；</w:t>
            </w:r>
          </w:p>
          <w:p w14:paraId="79E46BBD">
            <w:pPr>
              <w:keepNext w:val="0"/>
              <w:keepLines w:val="0"/>
              <w:pageBreakBefore w:val="0"/>
              <w:widowControl w:val="0"/>
              <w:kinsoku/>
              <w:wordWrap/>
              <w:overflowPunct/>
              <w:topLinePunct w:val="0"/>
              <w:autoSpaceDE/>
              <w:autoSpaceDN/>
              <w:bidi w:val="0"/>
              <w:adjustRightInd/>
              <w:spacing w:line="400" w:lineRule="exact"/>
              <w:ind w:leftChars="0" w:firstLine="480" w:firstLineChars="200"/>
              <w:jc w:val="both"/>
              <w:textAlignment w:val="auto"/>
              <w:rPr>
                <w:rFonts w:hint="default"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方案内容存在3处瑕疵得5分；</w:t>
            </w:r>
          </w:p>
          <w:p w14:paraId="17944293">
            <w:pPr>
              <w:keepNext w:val="0"/>
              <w:keepLines w:val="0"/>
              <w:pageBreakBefore w:val="0"/>
              <w:widowControl w:val="0"/>
              <w:kinsoku/>
              <w:wordWrap/>
              <w:overflowPunct/>
              <w:topLinePunct w:val="0"/>
              <w:autoSpaceDE/>
              <w:autoSpaceDN/>
              <w:bidi w:val="0"/>
              <w:adjustRightInd/>
              <w:spacing w:line="400" w:lineRule="exact"/>
              <w:ind w:leftChars="0" w:firstLine="480" w:firstLineChars="200"/>
              <w:jc w:val="both"/>
              <w:textAlignment w:val="auto"/>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方案内容存在4处及以上瑕疵或未提供方案得0分。</w:t>
            </w:r>
          </w:p>
        </w:tc>
        <w:tc>
          <w:tcPr>
            <w:tcW w:w="2475" w:type="dxa"/>
            <w:vMerge w:val="restart"/>
            <w:shd w:val="clear" w:color="auto" w:fill="auto"/>
            <w:vAlign w:val="center"/>
          </w:tcPr>
          <w:p w14:paraId="3E5B770A">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提供相关方案，格式自定。</w:t>
            </w:r>
          </w:p>
          <w:p w14:paraId="144D45B1">
            <w:pPr>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本项内容中所称的“瑕疵”是指：</w:t>
            </w:r>
          </w:p>
          <w:p w14:paraId="4520E2EC">
            <w:pPr>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方案内容缺项、内容表述不完整；</w:t>
            </w:r>
          </w:p>
          <w:p w14:paraId="4EFFFCCB">
            <w:pPr>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方案内容表述前后矛盾、无连贯性；</w:t>
            </w:r>
          </w:p>
          <w:p w14:paraId="3B672DDE">
            <w:pPr>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方案内容存在逻辑漏洞、常识错误并不适用本项目特性或非专门针对本项目特征制定；</w:t>
            </w:r>
          </w:p>
          <w:p w14:paraId="0A679ED9">
            <w:pPr>
              <w:keepNext w:val="0"/>
              <w:keepLines w:val="0"/>
              <w:pageBreakBefore w:val="0"/>
              <w:widowControl w:val="0"/>
              <w:kinsoku/>
              <w:wordWrap/>
              <w:overflowPunct/>
              <w:topLinePunct w:val="0"/>
              <w:autoSpaceDE/>
              <w:autoSpaceDN/>
              <w:bidi w:val="0"/>
              <w:adjustRightInd/>
              <w:spacing w:line="400" w:lineRule="exact"/>
              <w:ind w:leftChars="0" w:firstLine="480" w:firstLineChars="200"/>
              <w:jc w:val="left"/>
              <w:textAlignment w:val="auto"/>
              <w:rPr>
                <w:rFonts w:hint="eastAsia" w:ascii="仿宋" w:hAnsi="仿宋" w:eastAsia="仿宋" w:cs="仿宋"/>
                <w:b w:val="0"/>
                <w:bCs w:val="0"/>
                <w:sz w:val="24"/>
                <w:szCs w:val="24"/>
                <w:lang w:val="en-US" w:eastAsia="zh-CN"/>
              </w:rPr>
            </w:pPr>
            <w:r>
              <w:rPr>
                <w:rFonts w:hint="eastAsia" w:ascii="仿宋" w:hAnsi="仿宋" w:eastAsia="仿宋" w:cs="仿宋"/>
                <w:b w:val="0"/>
                <w:bCs w:val="0"/>
                <w:color w:val="auto"/>
                <w:sz w:val="24"/>
                <w:szCs w:val="24"/>
                <w:highlight w:val="none"/>
              </w:rPr>
              <w:t>方案中并未体现具体实施方案或方案中提出的内容不利于本项目目标实现等任意一种情形。</w:t>
            </w:r>
          </w:p>
        </w:tc>
      </w:tr>
      <w:tr w14:paraId="6B885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74" w:type="dxa"/>
            <w:vMerge w:val="continue"/>
            <w:vAlign w:val="center"/>
          </w:tcPr>
          <w:p w14:paraId="36A1035E">
            <w:pPr>
              <w:keepNext w:val="0"/>
              <w:keepLines w:val="0"/>
              <w:pageBreakBefore w:val="0"/>
              <w:widowControl w:val="0"/>
              <w:kinsoku/>
              <w:wordWrap/>
              <w:overflowPunct/>
              <w:topLinePunct w:val="0"/>
              <w:autoSpaceDE/>
              <w:autoSpaceDN/>
              <w:bidi w:val="0"/>
              <w:adjustRightInd/>
              <w:snapToGrid w:val="0"/>
              <w:spacing w:line="400" w:lineRule="exact"/>
              <w:jc w:val="left"/>
              <w:textAlignment w:val="auto"/>
              <w:rPr>
                <w:rFonts w:hint="eastAsia" w:ascii="仿宋" w:hAnsi="仿宋" w:eastAsia="仿宋" w:cs="仿宋"/>
                <w:b w:val="0"/>
                <w:bCs w:val="0"/>
                <w:color w:val="auto"/>
                <w:sz w:val="24"/>
                <w:szCs w:val="24"/>
                <w:highlight w:val="none"/>
                <w:lang w:val="en-US" w:eastAsia="zh-CN"/>
              </w:rPr>
            </w:pPr>
          </w:p>
        </w:tc>
        <w:tc>
          <w:tcPr>
            <w:tcW w:w="1250" w:type="dxa"/>
            <w:vMerge w:val="continue"/>
            <w:vAlign w:val="center"/>
          </w:tcPr>
          <w:p w14:paraId="51879401">
            <w:pPr>
              <w:pageBreakBefore w:val="0"/>
              <w:kinsoku/>
              <w:wordWrap/>
              <w:overflowPunct/>
              <w:topLinePunct w:val="0"/>
              <w:autoSpaceDE/>
              <w:autoSpaceDN/>
              <w:bidi w:val="0"/>
              <w:spacing w:line="400" w:lineRule="exact"/>
              <w:textAlignment w:val="auto"/>
              <w:rPr>
                <w:rFonts w:hint="eastAsia" w:ascii="仿宋" w:hAnsi="仿宋" w:eastAsia="仿宋" w:cs="仿宋"/>
                <w:b w:val="0"/>
                <w:bCs w:val="0"/>
                <w:sz w:val="24"/>
                <w:szCs w:val="24"/>
                <w:lang w:val="en-US" w:eastAsia="zh-CN"/>
              </w:rPr>
            </w:pPr>
          </w:p>
        </w:tc>
        <w:tc>
          <w:tcPr>
            <w:tcW w:w="1277" w:type="dxa"/>
            <w:vAlign w:val="center"/>
          </w:tcPr>
          <w:p w14:paraId="66D5E382">
            <w:pPr>
              <w:keepNext w:val="0"/>
              <w:keepLines w:val="0"/>
              <w:pageBreakBefore w:val="0"/>
              <w:widowControl w:val="0"/>
              <w:kinsoku/>
              <w:wordWrap/>
              <w:overflowPunct/>
              <w:topLinePunct w:val="0"/>
              <w:autoSpaceDE/>
              <w:autoSpaceDN/>
              <w:bidi w:val="0"/>
              <w:adjustRightInd/>
              <w:spacing w:line="400" w:lineRule="exact"/>
              <w:jc w:val="both"/>
              <w:textAlignment w:val="auto"/>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rPr>
              <w:t>理赔服务方案（</w:t>
            </w:r>
            <w:r>
              <w:rPr>
                <w:rFonts w:hint="eastAsia" w:ascii="仿宋" w:hAnsi="仿宋" w:eastAsia="仿宋" w:cs="仿宋"/>
                <w:b w:val="0"/>
                <w:bCs w:val="0"/>
                <w:sz w:val="24"/>
                <w:szCs w:val="24"/>
                <w:lang w:val="en-US" w:eastAsia="zh-CN"/>
              </w:rPr>
              <w:t>20</w:t>
            </w:r>
            <w:r>
              <w:rPr>
                <w:rFonts w:hint="eastAsia" w:ascii="仿宋" w:hAnsi="仿宋" w:eastAsia="仿宋" w:cs="仿宋"/>
                <w:b w:val="0"/>
                <w:bCs w:val="0"/>
                <w:sz w:val="24"/>
                <w:szCs w:val="24"/>
              </w:rPr>
              <w:t>分）</w:t>
            </w:r>
          </w:p>
        </w:tc>
        <w:tc>
          <w:tcPr>
            <w:tcW w:w="4145" w:type="dxa"/>
            <w:shd w:val="clear" w:color="auto" w:fill="auto"/>
            <w:vAlign w:val="center"/>
          </w:tcPr>
          <w:p w14:paraId="1C7CF086">
            <w:pPr>
              <w:keepNext w:val="0"/>
              <w:keepLines w:val="0"/>
              <w:pageBreakBefore w:val="0"/>
              <w:widowControl w:val="0"/>
              <w:kinsoku/>
              <w:wordWrap/>
              <w:overflowPunct/>
              <w:topLinePunct w:val="0"/>
              <w:autoSpaceDE/>
              <w:autoSpaceDN/>
              <w:bidi w:val="0"/>
              <w:adjustRightInd/>
              <w:spacing w:line="400" w:lineRule="exact"/>
              <w:ind w:leftChars="0" w:firstLine="480" w:firstLineChars="200"/>
              <w:jc w:val="both"/>
              <w:textAlignment w:val="auto"/>
              <w:rPr>
                <w:rFonts w:hint="eastAsia" w:ascii="仿宋" w:hAnsi="仿宋" w:eastAsia="仿宋" w:cs="仿宋"/>
                <w:b w:val="0"/>
                <w:bCs w:val="0"/>
                <w:sz w:val="24"/>
                <w:szCs w:val="24"/>
              </w:rPr>
            </w:pPr>
            <w:r>
              <w:rPr>
                <w:rFonts w:hint="eastAsia" w:ascii="仿宋" w:hAnsi="仿宋" w:eastAsia="仿宋" w:cs="仿宋"/>
                <w:b w:val="0"/>
                <w:bCs w:val="0"/>
                <w:sz w:val="24"/>
                <w:szCs w:val="24"/>
              </w:rPr>
              <w:t>供应商应结合本项目实际，提供理赔服务方案。方案包含：理赔流程、报案响应时限、现场查勘时效、结案时限承诺、小额快赔机制、理赔纠纷处理。根据方案内容进行评分。</w:t>
            </w:r>
          </w:p>
          <w:p w14:paraId="0FDF1928">
            <w:pPr>
              <w:keepNext w:val="0"/>
              <w:keepLines w:val="0"/>
              <w:pageBreakBefore w:val="0"/>
              <w:widowControl w:val="0"/>
              <w:kinsoku/>
              <w:wordWrap/>
              <w:overflowPunct/>
              <w:topLinePunct w:val="0"/>
              <w:autoSpaceDE/>
              <w:autoSpaceDN/>
              <w:bidi w:val="0"/>
              <w:adjustRightInd/>
              <w:spacing w:line="400" w:lineRule="exact"/>
              <w:ind w:leftChars="0" w:firstLine="480" w:firstLineChars="200"/>
              <w:jc w:val="both"/>
              <w:textAlignment w:val="auto"/>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方案内容不存在瑕疵得20分；</w:t>
            </w:r>
          </w:p>
          <w:p w14:paraId="0AAFB112">
            <w:pPr>
              <w:keepNext w:val="0"/>
              <w:keepLines w:val="0"/>
              <w:pageBreakBefore w:val="0"/>
              <w:widowControl w:val="0"/>
              <w:kinsoku/>
              <w:wordWrap/>
              <w:overflowPunct/>
              <w:topLinePunct w:val="0"/>
              <w:autoSpaceDE/>
              <w:autoSpaceDN/>
              <w:bidi w:val="0"/>
              <w:adjustRightInd/>
              <w:spacing w:line="400" w:lineRule="exact"/>
              <w:ind w:leftChars="0" w:firstLine="480" w:firstLineChars="200"/>
              <w:jc w:val="both"/>
              <w:textAlignment w:val="auto"/>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方案内容存在1处瑕疵得15分；</w:t>
            </w:r>
          </w:p>
          <w:p w14:paraId="78483109">
            <w:pPr>
              <w:keepNext w:val="0"/>
              <w:keepLines w:val="0"/>
              <w:pageBreakBefore w:val="0"/>
              <w:widowControl w:val="0"/>
              <w:kinsoku/>
              <w:wordWrap/>
              <w:overflowPunct/>
              <w:topLinePunct w:val="0"/>
              <w:autoSpaceDE/>
              <w:autoSpaceDN/>
              <w:bidi w:val="0"/>
              <w:adjustRightInd/>
              <w:spacing w:line="400" w:lineRule="exact"/>
              <w:ind w:leftChars="0" w:firstLine="480" w:firstLineChars="200"/>
              <w:jc w:val="both"/>
              <w:textAlignment w:val="auto"/>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方案内容存在2处瑕疵得10分；</w:t>
            </w:r>
          </w:p>
          <w:p w14:paraId="0419630A">
            <w:pPr>
              <w:keepNext w:val="0"/>
              <w:keepLines w:val="0"/>
              <w:pageBreakBefore w:val="0"/>
              <w:widowControl w:val="0"/>
              <w:kinsoku/>
              <w:wordWrap/>
              <w:overflowPunct/>
              <w:topLinePunct w:val="0"/>
              <w:autoSpaceDE/>
              <w:autoSpaceDN/>
              <w:bidi w:val="0"/>
              <w:adjustRightInd/>
              <w:spacing w:line="400" w:lineRule="exact"/>
              <w:ind w:leftChars="0" w:firstLine="480" w:firstLineChars="200"/>
              <w:jc w:val="both"/>
              <w:textAlignment w:val="auto"/>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方案内容存在3处瑕疵得5分</w:t>
            </w:r>
          </w:p>
          <w:p w14:paraId="21F70CE9">
            <w:pPr>
              <w:keepNext w:val="0"/>
              <w:keepLines w:val="0"/>
              <w:pageBreakBefore w:val="0"/>
              <w:widowControl w:val="0"/>
              <w:kinsoku/>
              <w:wordWrap/>
              <w:overflowPunct/>
              <w:topLinePunct w:val="0"/>
              <w:autoSpaceDE/>
              <w:autoSpaceDN/>
              <w:bidi w:val="0"/>
              <w:adjustRightInd/>
              <w:spacing w:line="400" w:lineRule="exact"/>
              <w:ind w:leftChars="0" w:firstLine="480" w:firstLineChars="200"/>
              <w:jc w:val="both"/>
              <w:textAlignment w:val="auto"/>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方案内容存在4处及以上瑕疵或未提供方案得0分。</w:t>
            </w:r>
          </w:p>
        </w:tc>
        <w:tc>
          <w:tcPr>
            <w:tcW w:w="2475" w:type="dxa"/>
            <w:vMerge w:val="continue"/>
            <w:shd w:val="clear" w:color="auto" w:fill="auto"/>
            <w:vAlign w:val="center"/>
          </w:tcPr>
          <w:p w14:paraId="34EF00C0">
            <w:pPr>
              <w:keepNext w:val="0"/>
              <w:keepLines w:val="0"/>
              <w:pageBreakBefore w:val="0"/>
              <w:widowControl w:val="0"/>
              <w:kinsoku/>
              <w:wordWrap/>
              <w:overflowPunct/>
              <w:topLinePunct w:val="0"/>
              <w:autoSpaceDE/>
              <w:autoSpaceDN/>
              <w:bidi w:val="0"/>
              <w:adjustRightInd/>
              <w:spacing w:line="400" w:lineRule="exact"/>
              <w:ind w:leftChars="0" w:firstLine="480" w:firstLineChars="200"/>
              <w:jc w:val="left"/>
              <w:textAlignment w:val="auto"/>
              <w:rPr>
                <w:rFonts w:hint="eastAsia" w:ascii="仿宋" w:hAnsi="仿宋" w:eastAsia="仿宋" w:cs="仿宋"/>
                <w:b w:val="0"/>
                <w:bCs w:val="0"/>
                <w:sz w:val="24"/>
                <w:szCs w:val="24"/>
                <w:lang w:val="en-US" w:eastAsia="zh-CN"/>
              </w:rPr>
            </w:pPr>
          </w:p>
        </w:tc>
      </w:tr>
      <w:tr w14:paraId="4BDD0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74" w:type="dxa"/>
            <w:vMerge w:val="continue"/>
            <w:vAlign w:val="center"/>
          </w:tcPr>
          <w:p w14:paraId="62402FE4">
            <w:pPr>
              <w:keepNext w:val="0"/>
              <w:keepLines w:val="0"/>
              <w:pageBreakBefore w:val="0"/>
              <w:widowControl w:val="0"/>
              <w:kinsoku/>
              <w:wordWrap/>
              <w:overflowPunct/>
              <w:topLinePunct w:val="0"/>
              <w:autoSpaceDE/>
              <w:autoSpaceDN/>
              <w:bidi w:val="0"/>
              <w:adjustRightInd/>
              <w:snapToGrid w:val="0"/>
              <w:spacing w:line="400" w:lineRule="exact"/>
              <w:jc w:val="left"/>
              <w:textAlignment w:val="auto"/>
              <w:rPr>
                <w:rFonts w:hint="eastAsia" w:ascii="仿宋" w:hAnsi="仿宋" w:eastAsia="仿宋" w:cs="仿宋"/>
                <w:b w:val="0"/>
                <w:bCs w:val="0"/>
                <w:color w:val="auto"/>
                <w:sz w:val="24"/>
                <w:szCs w:val="24"/>
                <w:highlight w:val="none"/>
                <w:lang w:val="en-US" w:eastAsia="zh-CN"/>
              </w:rPr>
            </w:pPr>
          </w:p>
        </w:tc>
        <w:tc>
          <w:tcPr>
            <w:tcW w:w="1250" w:type="dxa"/>
            <w:vMerge w:val="continue"/>
            <w:vAlign w:val="center"/>
          </w:tcPr>
          <w:p w14:paraId="405A2A0D">
            <w:pPr>
              <w:pageBreakBefore w:val="0"/>
              <w:kinsoku/>
              <w:wordWrap/>
              <w:overflowPunct/>
              <w:topLinePunct w:val="0"/>
              <w:autoSpaceDE/>
              <w:autoSpaceDN/>
              <w:bidi w:val="0"/>
              <w:spacing w:line="400" w:lineRule="exact"/>
              <w:textAlignment w:val="auto"/>
              <w:rPr>
                <w:rFonts w:hint="eastAsia" w:ascii="仿宋" w:hAnsi="仿宋" w:eastAsia="仿宋" w:cs="仿宋"/>
                <w:b w:val="0"/>
                <w:bCs w:val="0"/>
                <w:sz w:val="24"/>
                <w:szCs w:val="24"/>
                <w:lang w:val="en-US" w:eastAsia="zh-CN"/>
              </w:rPr>
            </w:pPr>
          </w:p>
        </w:tc>
        <w:tc>
          <w:tcPr>
            <w:tcW w:w="1277" w:type="dxa"/>
            <w:vAlign w:val="center"/>
          </w:tcPr>
          <w:p w14:paraId="5BFFBBBA">
            <w:pPr>
              <w:keepNext w:val="0"/>
              <w:keepLines w:val="0"/>
              <w:pageBreakBefore w:val="0"/>
              <w:widowControl w:val="0"/>
              <w:kinsoku/>
              <w:wordWrap/>
              <w:overflowPunct/>
              <w:topLinePunct w:val="0"/>
              <w:autoSpaceDE/>
              <w:autoSpaceDN/>
              <w:bidi w:val="0"/>
              <w:adjustRightInd/>
              <w:spacing w:line="400" w:lineRule="exact"/>
              <w:jc w:val="both"/>
              <w:textAlignment w:val="auto"/>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rPr>
              <w:t>应急预案及风险防控方案（</w:t>
            </w:r>
            <w:r>
              <w:rPr>
                <w:rFonts w:hint="eastAsia" w:ascii="仿宋" w:hAnsi="仿宋" w:eastAsia="仿宋" w:cs="仿宋"/>
                <w:b w:val="0"/>
                <w:bCs w:val="0"/>
                <w:sz w:val="24"/>
                <w:szCs w:val="24"/>
                <w:lang w:val="en-US" w:eastAsia="zh-CN"/>
              </w:rPr>
              <w:t>20</w:t>
            </w:r>
            <w:r>
              <w:rPr>
                <w:rFonts w:hint="eastAsia" w:ascii="仿宋" w:hAnsi="仿宋" w:eastAsia="仿宋" w:cs="仿宋"/>
                <w:b w:val="0"/>
                <w:bCs w:val="0"/>
                <w:sz w:val="24"/>
                <w:szCs w:val="24"/>
              </w:rPr>
              <w:t>分）</w:t>
            </w:r>
          </w:p>
        </w:tc>
        <w:tc>
          <w:tcPr>
            <w:tcW w:w="4145" w:type="dxa"/>
            <w:shd w:val="clear" w:color="auto" w:fill="auto"/>
            <w:vAlign w:val="center"/>
          </w:tcPr>
          <w:p w14:paraId="7C1E2E33">
            <w:pPr>
              <w:keepNext w:val="0"/>
              <w:keepLines w:val="0"/>
              <w:pageBreakBefore w:val="0"/>
              <w:widowControl w:val="0"/>
              <w:kinsoku/>
              <w:wordWrap/>
              <w:overflowPunct/>
              <w:topLinePunct w:val="0"/>
              <w:autoSpaceDE/>
              <w:autoSpaceDN/>
              <w:bidi w:val="0"/>
              <w:adjustRightInd/>
              <w:spacing w:line="400" w:lineRule="exact"/>
              <w:ind w:leftChars="0" w:firstLine="480" w:firstLineChars="200"/>
              <w:jc w:val="both"/>
              <w:textAlignment w:val="auto"/>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rPr>
              <w:t>供应商应结合本项目实际，提供应急预案及风险防控方案。方案：重大事故应急响应机制、群体性事件处理预案、防灾防损服务措施、风险排查与预警。</w:t>
            </w:r>
            <w:r>
              <w:rPr>
                <w:rFonts w:hint="eastAsia" w:ascii="仿宋" w:hAnsi="仿宋" w:eastAsia="仿宋" w:cs="仿宋"/>
                <w:b w:val="0"/>
                <w:bCs w:val="0"/>
                <w:sz w:val="24"/>
                <w:szCs w:val="24"/>
                <w:lang w:val="en-US" w:eastAsia="zh-CN"/>
              </w:rPr>
              <w:t>根据方案内容进行评分。</w:t>
            </w:r>
          </w:p>
          <w:p w14:paraId="67346F61">
            <w:pPr>
              <w:keepNext w:val="0"/>
              <w:keepLines w:val="0"/>
              <w:pageBreakBefore w:val="0"/>
              <w:widowControl w:val="0"/>
              <w:kinsoku/>
              <w:wordWrap/>
              <w:overflowPunct/>
              <w:topLinePunct w:val="0"/>
              <w:autoSpaceDE/>
              <w:autoSpaceDN/>
              <w:bidi w:val="0"/>
              <w:adjustRightInd/>
              <w:spacing w:line="400" w:lineRule="exact"/>
              <w:ind w:leftChars="0" w:firstLine="480" w:firstLineChars="200"/>
              <w:jc w:val="both"/>
              <w:textAlignment w:val="auto"/>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方案内容不存在瑕疵得20分；</w:t>
            </w:r>
          </w:p>
          <w:p w14:paraId="046E7A22">
            <w:pPr>
              <w:keepNext w:val="0"/>
              <w:keepLines w:val="0"/>
              <w:pageBreakBefore w:val="0"/>
              <w:widowControl w:val="0"/>
              <w:kinsoku/>
              <w:wordWrap/>
              <w:overflowPunct/>
              <w:topLinePunct w:val="0"/>
              <w:autoSpaceDE/>
              <w:autoSpaceDN/>
              <w:bidi w:val="0"/>
              <w:adjustRightInd/>
              <w:spacing w:line="400" w:lineRule="exact"/>
              <w:ind w:leftChars="0" w:firstLine="480" w:firstLineChars="200"/>
              <w:jc w:val="both"/>
              <w:textAlignment w:val="auto"/>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方案内容存在1处瑕疵得15分；</w:t>
            </w:r>
          </w:p>
          <w:p w14:paraId="3CADDDDB">
            <w:pPr>
              <w:keepNext w:val="0"/>
              <w:keepLines w:val="0"/>
              <w:pageBreakBefore w:val="0"/>
              <w:widowControl w:val="0"/>
              <w:kinsoku/>
              <w:wordWrap/>
              <w:overflowPunct/>
              <w:topLinePunct w:val="0"/>
              <w:autoSpaceDE/>
              <w:autoSpaceDN/>
              <w:bidi w:val="0"/>
              <w:adjustRightInd/>
              <w:spacing w:line="400" w:lineRule="exact"/>
              <w:ind w:leftChars="0" w:firstLine="480" w:firstLineChars="200"/>
              <w:jc w:val="both"/>
              <w:textAlignment w:val="auto"/>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方案内容存在2处瑕疵得10分；</w:t>
            </w:r>
          </w:p>
          <w:p w14:paraId="1B91CA9F">
            <w:pPr>
              <w:keepNext w:val="0"/>
              <w:keepLines w:val="0"/>
              <w:pageBreakBefore w:val="0"/>
              <w:widowControl w:val="0"/>
              <w:kinsoku/>
              <w:wordWrap/>
              <w:overflowPunct/>
              <w:topLinePunct w:val="0"/>
              <w:autoSpaceDE/>
              <w:autoSpaceDN/>
              <w:bidi w:val="0"/>
              <w:adjustRightInd/>
              <w:spacing w:line="400" w:lineRule="exact"/>
              <w:ind w:leftChars="0" w:firstLine="480" w:firstLineChars="200"/>
              <w:jc w:val="both"/>
              <w:textAlignment w:val="auto"/>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方案内容存在3处瑕疵得5分；</w:t>
            </w:r>
          </w:p>
          <w:p w14:paraId="1C4C90B1">
            <w:pPr>
              <w:keepNext w:val="0"/>
              <w:keepLines w:val="0"/>
              <w:pageBreakBefore w:val="0"/>
              <w:widowControl w:val="0"/>
              <w:kinsoku/>
              <w:wordWrap/>
              <w:overflowPunct/>
              <w:topLinePunct w:val="0"/>
              <w:autoSpaceDE/>
              <w:autoSpaceDN/>
              <w:bidi w:val="0"/>
              <w:adjustRightInd/>
              <w:spacing w:line="400" w:lineRule="exact"/>
              <w:ind w:leftChars="0" w:firstLine="480" w:firstLineChars="200"/>
              <w:jc w:val="both"/>
              <w:textAlignment w:val="auto"/>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方案内容存在4处及以上瑕疵或未提供方案得0分。</w:t>
            </w:r>
          </w:p>
        </w:tc>
        <w:tc>
          <w:tcPr>
            <w:tcW w:w="2475" w:type="dxa"/>
            <w:vMerge w:val="continue"/>
            <w:shd w:val="clear" w:color="auto" w:fill="auto"/>
            <w:vAlign w:val="center"/>
          </w:tcPr>
          <w:p w14:paraId="3C352A0E">
            <w:pPr>
              <w:keepNext w:val="0"/>
              <w:keepLines w:val="0"/>
              <w:pageBreakBefore w:val="0"/>
              <w:widowControl w:val="0"/>
              <w:kinsoku/>
              <w:wordWrap/>
              <w:overflowPunct/>
              <w:topLinePunct w:val="0"/>
              <w:autoSpaceDE/>
              <w:autoSpaceDN/>
              <w:bidi w:val="0"/>
              <w:adjustRightInd/>
              <w:spacing w:line="400" w:lineRule="exact"/>
              <w:ind w:leftChars="0" w:firstLine="480" w:firstLineChars="200"/>
              <w:jc w:val="left"/>
              <w:textAlignment w:val="auto"/>
              <w:rPr>
                <w:rFonts w:hint="eastAsia" w:ascii="仿宋" w:hAnsi="仿宋" w:eastAsia="仿宋" w:cs="仿宋"/>
                <w:b w:val="0"/>
                <w:bCs w:val="0"/>
                <w:sz w:val="24"/>
                <w:szCs w:val="24"/>
                <w:lang w:val="en-US" w:eastAsia="zh-CN"/>
              </w:rPr>
            </w:pPr>
          </w:p>
        </w:tc>
      </w:tr>
      <w:tr w14:paraId="714A1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trPr>
        <w:tc>
          <w:tcPr>
            <w:tcW w:w="574" w:type="dxa"/>
            <w:vMerge w:val="restart"/>
            <w:vAlign w:val="center"/>
          </w:tcPr>
          <w:p w14:paraId="137F587F">
            <w:pPr>
              <w:keepNext w:val="0"/>
              <w:keepLines w:val="0"/>
              <w:pageBreakBefore w:val="0"/>
              <w:widowControl w:val="0"/>
              <w:kinsoku/>
              <w:wordWrap/>
              <w:overflowPunct/>
              <w:topLinePunct w:val="0"/>
              <w:autoSpaceDE/>
              <w:autoSpaceDN/>
              <w:bidi w:val="0"/>
              <w:adjustRightInd/>
              <w:snapToGrid w:val="0"/>
              <w:spacing w:line="400" w:lineRule="exact"/>
              <w:jc w:val="left"/>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3</w:t>
            </w:r>
          </w:p>
        </w:tc>
        <w:tc>
          <w:tcPr>
            <w:tcW w:w="1250" w:type="dxa"/>
            <w:vMerge w:val="restart"/>
            <w:vAlign w:val="center"/>
          </w:tcPr>
          <w:p w14:paraId="08ADC22A">
            <w:pPr>
              <w:keepNext w:val="0"/>
              <w:keepLines w:val="0"/>
              <w:pageBreakBefore w:val="0"/>
              <w:widowControl w:val="0"/>
              <w:kinsoku/>
              <w:wordWrap/>
              <w:overflowPunct/>
              <w:topLinePunct w:val="0"/>
              <w:autoSpaceDE/>
              <w:autoSpaceDN/>
              <w:bidi w:val="0"/>
              <w:adjustRightInd/>
              <w:spacing w:line="400" w:lineRule="exact"/>
              <w:ind w:leftChars="0"/>
              <w:jc w:val="left"/>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商务部分</w:t>
            </w:r>
          </w:p>
          <w:p w14:paraId="3465972D">
            <w:pPr>
              <w:keepNext w:val="0"/>
              <w:keepLines w:val="0"/>
              <w:pageBreakBefore w:val="0"/>
              <w:widowControl w:val="0"/>
              <w:kinsoku/>
              <w:wordWrap/>
              <w:overflowPunct/>
              <w:topLinePunct w:val="0"/>
              <w:autoSpaceDE/>
              <w:autoSpaceDN/>
              <w:bidi w:val="0"/>
              <w:adjustRightInd/>
              <w:spacing w:line="400" w:lineRule="exact"/>
              <w:ind w:leftChars="0"/>
              <w:jc w:val="left"/>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（20%）</w:t>
            </w:r>
          </w:p>
        </w:tc>
        <w:tc>
          <w:tcPr>
            <w:tcW w:w="1277" w:type="dxa"/>
            <w:shd w:val="clear" w:color="auto" w:fill="auto"/>
            <w:vAlign w:val="center"/>
          </w:tcPr>
          <w:p w14:paraId="35D4D4B4">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仿宋" w:hAnsi="仿宋" w:eastAsia="仿宋" w:cs="仿宋"/>
                <w:b w:val="0"/>
                <w:bCs w:val="0"/>
                <w:kern w:val="0"/>
                <w:sz w:val="24"/>
                <w:szCs w:val="24"/>
                <w:lang w:val="en-US" w:eastAsia="zh-CN"/>
              </w:rPr>
            </w:pPr>
            <w:r>
              <w:rPr>
                <w:rFonts w:hint="eastAsia" w:ascii="仿宋" w:hAnsi="仿宋" w:eastAsia="仿宋" w:cs="仿宋"/>
                <w:color w:val="auto"/>
                <w:sz w:val="24"/>
                <w:szCs w:val="24"/>
                <w:highlight w:val="none"/>
                <w:lang w:eastAsia="zh-CN"/>
              </w:rPr>
              <w:t>理赔经验（</w:t>
            </w:r>
            <w:r>
              <w:rPr>
                <w:rFonts w:hint="eastAsia" w:ascii="仿宋" w:hAnsi="仿宋" w:eastAsia="仿宋" w:cs="仿宋"/>
                <w:color w:val="auto"/>
                <w:sz w:val="24"/>
                <w:szCs w:val="24"/>
                <w:highlight w:val="none"/>
                <w:lang w:val="en-US" w:eastAsia="zh-CN"/>
              </w:rPr>
              <w:t>5分</w:t>
            </w:r>
            <w:r>
              <w:rPr>
                <w:rFonts w:hint="eastAsia" w:ascii="仿宋" w:hAnsi="仿宋" w:eastAsia="仿宋" w:cs="仿宋"/>
                <w:color w:val="auto"/>
                <w:sz w:val="24"/>
                <w:szCs w:val="24"/>
                <w:highlight w:val="none"/>
                <w:lang w:eastAsia="zh-CN"/>
              </w:rPr>
              <w:t>）</w:t>
            </w:r>
          </w:p>
        </w:tc>
        <w:tc>
          <w:tcPr>
            <w:tcW w:w="4145" w:type="dxa"/>
            <w:shd w:val="clear" w:color="auto" w:fill="auto"/>
            <w:vAlign w:val="center"/>
          </w:tcPr>
          <w:p w14:paraId="491A2CBE">
            <w:pPr>
              <w:keepNext w:val="0"/>
              <w:keepLines w:val="0"/>
              <w:pageBreakBefore w:val="0"/>
              <w:kinsoku/>
              <w:wordWrap/>
              <w:overflowPunct/>
              <w:topLinePunct w:val="0"/>
              <w:autoSpaceDE/>
              <w:autoSpaceDN/>
              <w:bidi w:val="0"/>
              <w:adjustRightInd/>
              <w:snapToGrid/>
              <w:spacing w:line="400" w:lineRule="exact"/>
              <w:ind w:left="0" w:leftChars="0" w:firstLine="480" w:firstLineChars="200"/>
              <w:textAlignment w:val="auto"/>
              <w:rPr>
                <w:rFonts w:hint="eastAsia" w:ascii="仿宋" w:hAnsi="仿宋" w:eastAsia="仿宋" w:cs="仿宋"/>
                <w:b w:val="0"/>
                <w:bCs w:val="0"/>
                <w:kern w:val="0"/>
                <w:sz w:val="24"/>
                <w:szCs w:val="24"/>
                <w:lang w:val="en-US" w:eastAsia="zh-CN"/>
              </w:rPr>
            </w:pPr>
            <w:r>
              <w:rPr>
                <w:rFonts w:hint="eastAsia" w:ascii="仿宋" w:hAnsi="仿宋" w:eastAsia="仿宋" w:cs="仿宋"/>
                <w:color w:val="auto"/>
                <w:sz w:val="24"/>
                <w:szCs w:val="24"/>
                <w:highlight w:val="none"/>
                <w:lang w:eastAsia="zh-CN"/>
              </w:rPr>
              <w:t>供应商每提供一例理赔案例得</w:t>
            </w:r>
            <w:r>
              <w:rPr>
                <w:rFonts w:hint="eastAsia" w:ascii="仿宋" w:hAnsi="仿宋" w:eastAsia="仿宋" w:cs="仿宋"/>
                <w:color w:val="auto"/>
                <w:sz w:val="24"/>
                <w:szCs w:val="24"/>
                <w:highlight w:val="none"/>
                <w:lang w:val="en-US" w:eastAsia="zh-CN"/>
              </w:rPr>
              <w:t>2.5</w:t>
            </w:r>
            <w:r>
              <w:rPr>
                <w:rFonts w:hint="eastAsia" w:ascii="仿宋" w:hAnsi="仿宋" w:eastAsia="仿宋" w:cs="仿宋"/>
                <w:color w:val="auto"/>
                <w:sz w:val="24"/>
                <w:szCs w:val="24"/>
                <w:highlight w:val="none"/>
                <w:lang w:eastAsia="zh-CN"/>
              </w:rPr>
              <w:t>分，最高</w:t>
            </w: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lang w:eastAsia="zh-CN"/>
              </w:rPr>
              <w:t>分。</w:t>
            </w:r>
          </w:p>
        </w:tc>
        <w:tc>
          <w:tcPr>
            <w:tcW w:w="2475" w:type="dxa"/>
            <w:shd w:val="clear" w:color="auto" w:fill="auto"/>
            <w:vAlign w:val="center"/>
          </w:tcPr>
          <w:p w14:paraId="21DD2EC8">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b w:val="0"/>
                <w:bCs w:val="0"/>
                <w:color w:val="000000"/>
                <w:kern w:val="0"/>
                <w:sz w:val="24"/>
                <w:szCs w:val="24"/>
                <w:lang w:val="en-US" w:eastAsia="zh-CN" w:bidi="ar-SA"/>
              </w:rPr>
            </w:pPr>
            <w:r>
              <w:rPr>
                <w:rFonts w:hint="eastAsia" w:ascii="仿宋" w:hAnsi="仿宋" w:eastAsia="仿宋" w:cs="仿宋"/>
                <w:color w:val="auto"/>
                <w:sz w:val="24"/>
                <w:szCs w:val="24"/>
                <w:highlight w:val="none"/>
                <w:lang w:eastAsia="zh-CN"/>
              </w:rPr>
              <w:t>提供理赔计算书及付款凭证复印件。（加盖供应商公章）</w:t>
            </w:r>
          </w:p>
        </w:tc>
      </w:tr>
      <w:tr w14:paraId="1448D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 w:hRule="atLeast"/>
        </w:trPr>
        <w:tc>
          <w:tcPr>
            <w:tcW w:w="574" w:type="dxa"/>
            <w:vMerge w:val="continue"/>
            <w:vAlign w:val="center"/>
          </w:tcPr>
          <w:p w14:paraId="1CA942E3">
            <w:pPr>
              <w:keepNext w:val="0"/>
              <w:keepLines w:val="0"/>
              <w:pageBreakBefore w:val="0"/>
              <w:widowControl w:val="0"/>
              <w:kinsoku/>
              <w:wordWrap/>
              <w:overflowPunct/>
              <w:topLinePunct w:val="0"/>
              <w:autoSpaceDE/>
              <w:autoSpaceDN/>
              <w:bidi w:val="0"/>
              <w:adjustRightInd/>
              <w:snapToGrid w:val="0"/>
              <w:spacing w:line="400" w:lineRule="exact"/>
              <w:jc w:val="left"/>
              <w:textAlignment w:val="auto"/>
              <w:rPr>
                <w:rFonts w:hint="eastAsia" w:ascii="仿宋" w:hAnsi="仿宋" w:eastAsia="仿宋" w:cs="仿宋"/>
                <w:b w:val="0"/>
                <w:bCs w:val="0"/>
                <w:color w:val="auto"/>
                <w:sz w:val="24"/>
                <w:szCs w:val="24"/>
                <w:highlight w:val="none"/>
                <w:lang w:val="en-US" w:eastAsia="zh-CN"/>
              </w:rPr>
            </w:pPr>
            <w:bookmarkStart w:id="108" w:name="_Toc4563"/>
            <w:bookmarkStart w:id="109" w:name="_Toc38532864"/>
            <w:bookmarkStart w:id="110" w:name="_Toc7436"/>
            <w:bookmarkStart w:id="111" w:name="_Toc24670"/>
            <w:bookmarkStart w:id="112" w:name="_Toc102227320"/>
            <w:bookmarkStart w:id="113" w:name="_Toc342913394"/>
          </w:p>
        </w:tc>
        <w:tc>
          <w:tcPr>
            <w:tcW w:w="1250" w:type="dxa"/>
            <w:vMerge w:val="continue"/>
            <w:vAlign w:val="center"/>
          </w:tcPr>
          <w:p w14:paraId="0C6FEFC7">
            <w:pPr>
              <w:keepNext w:val="0"/>
              <w:keepLines w:val="0"/>
              <w:pageBreakBefore w:val="0"/>
              <w:widowControl w:val="0"/>
              <w:kinsoku/>
              <w:wordWrap/>
              <w:overflowPunct/>
              <w:topLinePunct w:val="0"/>
              <w:autoSpaceDE/>
              <w:autoSpaceDN/>
              <w:bidi w:val="0"/>
              <w:adjustRightInd/>
              <w:spacing w:line="400" w:lineRule="exact"/>
              <w:ind w:leftChars="0"/>
              <w:jc w:val="left"/>
              <w:textAlignment w:val="auto"/>
              <w:rPr>
                <w:rFonts w:hint="eastAsia" w:ascii="仿宋" w:hAnsi="仿宋" w:eastAsia="仿宋" w:cs="仿宋"/>
                <w:b w:val="0"/>
                <w:bCs w:val="0"/>
                <w:color w:val="auto"/>
                <w:sz w:val="24"/>
                <w:szCs w:val="24"/>
                <w:highlight w:val="none"/>
                <w:lang w:val="en-US" w:eastAsia="zh-CN"/>
              </w:rPr>
            </w:pPr>
          </w:p>
        </w:tc>
        <w:tc>
          <w:tcPr>
            <w:tcW w:w="1277" w:type="dxa"/>
            <w:shd w:val="clear" w:color="auto" w:fill="auto"/>
            <w:vAlign w:val="center"/>
          </w:tcPr>
          <w:p w14:paraId="21145E2A">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业绩</w:t>
            </w:r>
          </w:p>
          <w:p w14:paraId="489B1FB5">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b w:val="0"/>
                <w:bCs w:val="0"/>
                <w:kern w:val="0"/>
                <w:sz w:val="24"/>
                <w:szCs w:val="24"/>
                <w:lang w:val="en-US" w:eastAsia="zh-CN"/>
              </w:rPr>
            </w:pP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15分</w:t>
            </w:r>
            <w:r>
              <w:rPr>
                <w:rFonts w:hint="eastAsia" w:ascii="仿宋" w:hAnsi="仿宋" w:eastAsia="仿宋" w:cs="仿宋"/>
                <w:color w:val="auto"/>
                <w:sz w:val="24"/>
                <w:szCs w:val="24"/>
                <w:highlight w:val="none"/>
                <w:lang w:eastAsia="zh-CN"/>
              </w:rPr>
              <w:t>）</w:t>
            </w:r>
          </w:p>
        </w:tc>
        <w:tc>
          <w:tcPr>
            <w:tcW w:w="4145" w:type="dxa"/>
            <w:shd w:val="clear" w:color="auto" w:fill="auto"/>
            <w:vAlign w:val="center"/>
          </w:tcPr>
          <w:p w14:paraId="2D7CA5A3">
            <w:pPr>
              <w:keepNext w:val="0"/>
              <w:keepLines w:val="0"/>
              <w:pageBreakBefore w:val="0"/>
              <w:kinsoku/>
              <w:wordWrap/>
              <w:overflowPunct/>
              <w:topLinePunct w:val="0"/>
              <w:autoSpaceDE/>
              <w:autoSpaceDN/>
              <w:bidi w:val="0"/>
              <w:adjustRightInd/>
              <w:snapToGrid/>
              <w:spacing w:line="400" w:lineRule="exact"/>
              <w:ind w:left="0" w:leftChars="0" w:firstLine="480" w:firstLineChars="200"/>
              <w:textAlignment w:val="auto"/>
              <w:rPr>
                <w:rFonts w:hint="eastAsia" w:ascii="仿宋" w:hAnsi="仿宋" w:eastAsia="仿宋" w:cs="仿宋"/>
                <w:b w:val="0"/>
                <w:bCs w:val="0"/>
                <w:kern w:val="0"/>
                <w:sz w:val="24"/>
                <w:szCs w:val="24"/>
                <w:highlight w:val="none"/>
                <w:lang w:val="en-US" w:eastAsia="zh-CN" w:bidi="ar-SA"/>
              </w:rPr>
            </w:pPr>
            <w:r>
              <w:rPr>
                <w:rFonts w:hint="eastAsia" w:ascii="仿宋" w:hAnsi="仿宋" w:eastAsia="仿宋" w:cs="仿宋"/>
                <w:color w:val="auto"/>
                <w:sz w:val="24"/>
                <w:szCs w:val="24"/>
                <w:highlight w:val="none"/>
                <w:lang w:val="en-US" w:eastAsia="zh-CN"/>
              </w:rPr>
              <w:t>自2023年1月1日起至本项目开标之日止，供应商承保过类似项目（合同内容含：公众责任险或附加险），每提供一个得5分，最多得15分。</w:t>
            </w:r>
          </w:p>
        </w:tc>
        <w:tc>
          <w:tcPr>
            <w:tcW w:w="2475" w:type="dxa"/>
            <w:shd w:val="clear" w:color="auto" w:fill="auto"/>
            <w:vAlign w:val="center"/>
          </w:tcPr>
          <w:p w14:paraId="6713A1BE">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b w:val="0"/>
                <w:bCs w:val="0"/>
                <w:kern w:val="0"/>
                <w:sz w:val="24"/>
                <w:szCs w:val="24"/>
                <w:highlight w:val="none"/>
                <w:lang w:val="en-US" w:eastAsia="zh-CN" w:bidi="ar-SA"/>
              </w:rPr>
            </w:pPr>
            <w:r>
              <w:rPr>
                <w:rFonts w:hint="eastAsia" w:ascii="仿宋" w:hAnsi="仿宋" w:eastAsia="仿宋" w:cs="仿宋"/>
                <w:color w:val="auto"/>
                <w:sz w:val="24"/>
                <w:szCs w:val="24"/>
                <w:highlight w:val="none"/>
                <w:lang w:val="en-US" w:eastAsia="zh-CN"/>
              </w:rPr>
              <w:t>提供相关合同复印件并加盖供应商公章。</w:t>
            </w:r>
          </w:p>
        </w:tc>
      </w:tr>
      <w:bookmarkEnd w:id="95"/>
      <w:bookmarkEnd w:id="96"/>
      <w:bookmarkEnd w:id="97"/>
      <w:bookmarkEnd w:id="98"/>
      <w:bookmarkEnd w:id="99"/>
      <w:bookmarkEnd w:id="100"/>
    </w:tbl>
    <w:p w14:paraId="5021D7AB">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根据《关于推动解决政府采购异常低价问题的通知》财库〔2026〕2号文件规定，政府采购评审中出现下列情形之一的，比选小组应当启动异常低价投标审查程序：</w:t>
      </w:r>
    </w:p>
    <w:p w14:paraId="7F85A04E">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（1）投标报价低于全部通过符合性审查供应商投标报价平均值50%的，即投标报价&lt;全部通过符合性审查供应商投标报价平均值×50%；</w:t>
      </w:r>
    </w:p>
    <w:p w14:paraId="13B4CAEE">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（2）投标报价低于通过符合性审查的次低报价供应商投标报价50%的，即投标报价&lt;通过符合性审查的次低报价供应商投标报价×50%；</w:t>
      </w:r>
    </w:p>
    <w:p w14:paraId="65C2BCD6">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（3）投标报价低于采购项目最高限价45%的，即投标报价&lt;采购项目最高限价×45%；</w:t>
      </w:r>
    </w:p>
    <w:p w14:paraId="7BE409E2">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（4）比选小组基于专业判断，认为供应商报价过低，有可能影响产品质量或者不能诚信履约的其他情形。</w:t>
      </w:r>
    </w:p>
    <w:p w14:paraId="50AF4710">
      <w:pPr>
        <w:pStyle w:val="3"/>
        <w:pageBreakBefore w:val="0"/>
        <w:tabs>
          <w:tab w:val="left" w:pos="7185"/>
        </w:tabs>
        <w:kinsoku/>
        <w:wordWrap/>
        <w:overflowPunct/>
        <w:topLinePunct w:val="0"/>
        <w:autoSpaceDE/>
        <w:autoSpaceDN/>
        <w:bidi w:val="0"/>
        <w:adjustRightInd/>
        <w:spacing w:before="0" w:after="0" w:line="400" w:lineRule="exact"/>
        <w:textAlignment w:val="auto"/>
        <w:rPr>
          <w:rFonts w:hint="eastAsia" w:ascii="仿宋" w:hAnsi="仿宋" w:eastAsia="仿宋" w:cs="仿宋"/>
          <w:color w:val="auto"/>
          <w:sz w:val="24"/>
          <w:szCs w:val="24"/>
          <w:highlight w:val="none"/>
        </w:rPr>
      </w:pPr>
      <w:bookmarkStart w:id="114" w:name="_Toc24458"/>
      <w:bookmarkStart w:id="115" w:name="_Toc22735"/>
      <w:r>
        <w:rPr>
          <w:rFonts w:hint="eastAsia" w:ascii="仿宋" w:hAnsi="仿宋" w:eastAsia="仿宋" w:cs="仿宋"/>
          <w:b/>
          <w:color w:val="auto"/>
          <w:kern w:val="2"/>
          <w:sz w:val="24"/>
          <w:szCs w:val="24"/>
          <w:lang w:val="en-US" w:eastAsia="zh-CN" w:bidi="ar-SA"/>
        </w:rPr>
        <w:t>三、</w:t>
      </w:r>
      <w:bookmarkEnd w:id="108"/>
      <w:bookmarkEnd w:id="109"/>
      <w:bookmarkEnd w:id="110"/>
      <w:bookmarkEnd w:id="111"/>
      <w:r>
        <w:rPr>
          <w:rFonts w:hint="eastAsia" w:ascii="仿宋" w:hAnsi="仿宋" w:eastAsia="仿宋" w:cs="仿宋"/>
          <w:b/>
          <w:color w:val="auto"/>
          <w:kern w:val="2"/>
          <w:sz w:val="24"/>
          <w:szCs w:val="24"/>
          <w:lang w:val="en-US" w:eastAsia="zh-CN" w:bidi="ar-SA"/>
        </w:rPr>
        <w:t>无效投标条款</w:t>
      </w:r>
      <w:bookmarkEnd w:id="114"/>
      <w:bookmarkEnd w:id="115"/>
      <w:r>
        <w:rPr>
          <w:rFonts w:hint="eastAsia" w:ascii="仿宋" w:hAnsi="仿宋" w:eastAsia="仿宋" w:cs="仿宋"/>
          <w:color w:val="auto"/>
          <w:sz w:val="24"/>
          <w:szCs w:val="24"/>
          <w:highlight w:val="none"/>
        </w:rPr>
        <w:tab/>
      </w:r>
    </w:p>
    <w:p w14:paraId="2BF2148B">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bookmarkStart w:id="116" w:name="_Toc1903"/>
      <w:bookmarkStart w:id="117" w:name="_Toc38532865"/>
      <w:bookmarkStart w:id="118" w:name="_Toc28395"/>
      <w:bookmarkStart w:id="119" w:name="_Toc29043"/>
      <w:r>
        <w:rPr>
          <w:rFonts w:hint="eastAsia" w:ascii="仿宋" w:hAnsi="仿宋" w:eastAsia="仿宋" w:cs="仿宋"/>
          <w:color w:val="auto"/>
          <w:sz w:val="24"/>
          <w:szCs w:val="24"/>
          <w:highlight w:val="none"/>
          <w:lang w:val="en-US" w:eastAsia="zh-CN"/>
        </w:rPr>
        <w:t>供应商或其响应文件出现下列情况之一者，应为无效投标：</w:t>
      </w:r>
    </w:p>
    <w:p w14:paraId="76AC9329">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（一）未按照比选文件的规定提交投标保证金的；</w:t>
      </w:r>
    </w:p>
    <w:p w14:paraId="6C159C06">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（二）响应文件未按比选文件要求签署、盖章的；</w:t>
      </w:r>
    </w:p>
    <w:p w14:paraId="74FAA280">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（三）不具备比选文件中规定的资格要求的；</w:t>
      </w:r>
    </w:p>
    <w:p w14:paraId="360BA7CC">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（四）报价超过比选文件中规定的预算金额或者最高限价的；</w:t>
      </w:r>
    </w:p>
    <w:p w14:paraId="17FC9C6B">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（五）响应文件含有采购人不能接受的附加条件的；</w:t>
      </w:r>
    </w:p>
    <w:p w14:paraId="66CBC49D">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（六）供应商串通投标的；</w:t>
      </w:r>
    </w:p>
    <w:p w14:paraId="79E52C2F">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（七）法律、法规和比选文件规定的其他无效情形。</w:t>
      </w:r>
    </w:p>
    <w:p w14:paraId="64ED1B44">
      <w:pPr>
        <w:pStyle w:val="3"/>
        <w:pageBreakBefore w:val="0"/>
        <w:widowControl w:val="0"/>
        <w:numPr>
          <w:ilvl w:val="0"/>
          <w:numId w:val="0"/>
        </w:numPr>
        <w:kinsoku/>
        <w:wordWrap/>
        <w:overflowPunct/>
        <w:topLinePunct w:val="0"/>
        <w:autoSpaceDE/>
        <w:autoSpaceDN/>
        <w:bidi w:val="0"/>
        <w:spacing w:line="400" w:lineRule="exact"/>
        <w:textAlignment w:val="auto"/>
        <w:rPr>
          <w:rFonts w:hint="eastAsia" w:ascii="仿宋" w:hAnsi="仿宋" w:eastAsia="仿宋" w:cs="仿宋"/>
          <w:b/>
          <w:color w:val="auto"/>
          <w:kern w:val="2"/>
          <w:sz w:val="24"/>
          <w:szCs w:val="24"/>
          <w:lang w:val="en-US" w:eastAsia="zh-CN" w:bidi="ar-SA"/>
        </w:rPr>
      </w:pPr>
      <w:bookmarkStart w:id="120" w:name="_Toc21572"/>
      <w:bookmarkStart w:id="121" w:name="_Toc23810"/>
      <w:r>
        <w:rPr>
          <w:rFonts w:hint="eastAsia" w:ascii="仿宋" w:hAnsi="仿宋" w:eastAsia="仿宋" w:cs="仿宋"/>
          <w:b/>
          <w:color w:val="auto"/>
          <w:kern w:val="2"/>
          <w:sz w:val="24"/>
          <w:szCs w:val="24"/>
          <w:lang w:val="en-US" w:eastAsia="zh-CN" w:bidi="ar-SA"/>
        </w:rPr>
        <w:t>四、</w:t>
      </w:r>
      <w:bookmarkEnd w:id="112"/>
      <w:bookmarkEnd w:id="113"/>
      <w:bookmarkEnd w:id="116"/>
      <w:bookmarkEnd w:id="117"/>
      <w:bookmarkEnd w:id="118"/>
      <w:bookmarkEnd w:id="119"/>
      <w:r>
        <w:rPr>
          <w:rFonts w:hint="eastAsia" w:ascii="仿宋" w:hAnsi="仿宋" w:eastAsia="仿宋" w:cs="仿宋"/>
          <w:b/>
          <w:color w:val="auto"/>
          <w:kern w:val="2"/>
          <w:sz w:val="24"/>
          <w:szCs w:val="24"/>
          <w:lang w:val="en-US" w:eastAsia="zh-CN" w:bidi="ar-SA"/>
        </w:rPr>
        <w:t>废标条款</w:t>
      </w:r>
      <w:bookmarkEnd w:id="120"/>
      <w:bookmarkEnd w:id="121"/>
    </w:p>
    <w:p w14:paraId="61B4A50E">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在招标采购中，出现下列情形之一的，应予废标：</w:t>
      </w:r>
    </w:p>
    <w:p w14:paraId="495F2F2E">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（一）符合专业条件的供应商或者对比选文件作实质响应的供应商不足三家的；</w:t>
      </w:r>
    </w:p>
    <w:p w14:paraId="705A24D9">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（二）供应商的报价均超过了采购预算，采购人不能支付的；</w:t>
      </w:r>
    </w:p>
    <w:p w14:paraId="532DE366">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（三）出现影响采购公正的违法、违规行为的；</w:t>
      </w:r>
    </w:p>
    <w:p w14:paraId="1E509BC0">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（四）因重大变故，采购任务取消的。</w:t>
      </w:r>
    </w:p>
    <w:p w14:paraId="13DC9403">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废标后，除采购任务取消情形外，应当重新组织采购。</w:t>
      </w:r>
    </w:p>
    <w:p w14:paraId="12A66323">
      <w:pPr>
        <w:pageBreakBefore w:val="0"/>
        <w:kinsoku/>
        <w:wordWrap/>
        <w:overflowPunct/>
        <w:topLinePunct w:val="0"/>
        <w:autoSpaceDE/>
        <w:autoSpaceDN/>
        <w:bidi w:val="0"/>
        <w:spacing w:line="400" w:lineRule="exac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br w:type="page"/>
      </w:r>
    </w:p>
    <w:p w14:paraId="6D878A28">
      <w:pPr>
        <w:pStyle w:val="2"/>
        <w:spacing w:before="0" w:beforeLines="0" w:after="0" w:afterLines="0" w:line="360" w:lineRule="auto"/>
        <w:rPr>
          <w:rFonts w:hint="eastAsia" w:ascii="仿宋" w:hAnsi="仿宋" w:eastAsia="仿宋" w:cs="仿宋"/>
          <w:b/>
          <w:bCs/>
          <w:color w:val="auto"/>
          <w:sz w:val="44"/>
          <w:szCs w:val="44"/>
          <w:highlight w:val="none"/>
        </w:rPr>
      </w:pPr>
      <w:bookmarkStart w:id="122" w:name="_Toc15445"/>
      <w:r>
        <w:rPr>
          <w:rFonts w:hint="eastAsia" w:ascii="仿宋" w:hAnsi="仿宋" w:eastAsia="仿宋" w:cs="仿宋"/>
          <w:b/>
          <w:bCs/>
          <w:color w:val="auto"/>
          <w:sz w:val="44"/>
          <w:szCs w:val="44"/>
          <w:highlight w:val="none"/>
        </w:rPr>
        <w:t xml:space="preserve">第五篇  </w:t>
      </w:r>
      <w:r>
        <w:rPr>
          <w:rFonts w:hint="eastAsia" w:ascii="仿宋" w:hAnsi="仿宋" w:eastAsia="仿宋" w:cs="仿宋"/>
          <w:b/>
          <w:bCs/>
          <w:color w:val="auto"/>
          <w:sz w:val="44"/>
          <w:szCs w:val="44"/>
          <w:highlight w:val="none"/>
          <w:lang w:eastAsia="zh-CN"/>
        </w:rPr>
        <w:t>供应商</w:t>
      </w:r>
      <w:r>
        <w:rPr>
          <w:rFonts w:hint="eastAsia" w:ascii="仿宋" w:hAnsi="仿宋" w:eastAsia="仿宋" w:cs="仿宋"/>
          <w:b/>
          <w:bCs/>
          <w:color w:val="auto"/>
          <w:sz w:val="44"/>
          <w:szCs w:val="44"/>
          <w:highlight w:val="none"/>
        </w:rPr>
        <w:t>须知</w:t>
      </w:r>
      <w:bookmarkEnd w:id="122"/>
    </w:p>
    <w:p w14:paraId="6BB3E3E5">
      <w:pPr>
        <w:pStyle w:val="3"/>
        <w:pageBreakBefore w:val="0"/>
        <w:widowControl w:val="0"/>
        <w:numPr>
          <w:ilvl w:val="0"/>
          <w:numId w:val="0"/>
        </w:numPr>
        <w:kinsoku/>
        <w:wordWrap/>
        <w:overflowPunct/>
        <w:topLinePunct w:val="0"/>
        <w:autoSpaceDE/>
        <w:autoSpaceDN/>
        <w:bidi w:val="0"/>
        <w:spacing w:line="400" w:lineRule="exact"/>
        <w:textAlignment w:val="auto"/>
        <w:rPr>
          <w:rFonts w:hint="eastAsia" w:ascii="仿宋" w:hAnsi="仿宋" w:eastAsia="仿宋" w:cs="仿宋"/>
          <w:b/>
          <w:color w:val="auto"/>
          <w:kern w:val="2"/>
          <w:sz w:val="24"/>
          <w:szCs w:val="24"/>
          <w:lang w:val="en-US" w:eastAsia="zh-CN" w:bidi="ar-SA"/>
        </w:rPr>
      </w:pPr>
      <w:bookmarkStart w:id="123" w:name="_Toc20630"/>
      <w:bookmarkStart w:id="124" w:name="_Toc439685499"/>
      <w:bookmarkStart w:id="125" w:name="_Toc342913389"/>
      <w:r>
        <w:rPr>
          <w:rFonts w:hint="eastAsia" w:ascii="仿宋" w:hAnsi="仿宋" w:eastAsia="仿宋" w:cs="仿宋"/>
          <w:b/>
          <w:color w:val="auto"/>
          <w:kern w:val="2"/>
          <w:sz w:val="24"/>
          <w:szCs w:val="24"/>
          <w:lang w:val="en-US" w:eastAsia="zh-CN" w:bidi="ar-SA"/>
        </w:rPr>
        <w:t>一、比选费用</w:t>
      </w:r>
      <w:bookmarkEnd w:id="123"/>
      <w:bookmarkEnd w:id="124"/>
      <w:bookmarkEnd w:id="125"/>
    </w:p>
    <w:p w14:paraId="27897CF4">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参与比选的供应商应承担其编制响应文件与递交响应文件所涉及的一切费用，不论比选结果如何，采购人在任何情况下无义务也无责任承担这些费用。</w:t>
      </w:r>
    </w:p>
    <w:p w14:paraId="520428A6">
      <w:pPr>
        <w:pStyle w:val="3"/>
        <w:pageBreakBefore w:val="0"/>
        <w:widowControl w:val="0"/>
        <w:numPr>
          <w:ilvl w:val="0"/>
          <w:numId w:val="0"/>
        </w:numPr>
        <w:kinsoku/>
        <w:wordWrap/>
        <w:overflowPunct/>
        <w:topLinePunct w:val="0"/>
        <w:autoSpaceDE/>
        <w:autoSpaceDN/>
        <w:bidi w:val="0"/>
        <w:spacing w:line="400" w:lineRule="exact"/>
        <w:textAlignment w:val="auto"/>
        <w:rPr>
          <w:rFonts w:hint="eastAsia" w:ascii="仿宋" w:hAnsi="仿宋" w:eastAsia="仿宋" w:cs="仿宋"/>
          <w:b/>
          <w:color w:val="auto"/>
          <w:kern w:val="2"/>
          <w:sz w:val="24"/>
          <w:szCs w:val="24"/>
          <w:lang w:val="en-US" w:eastAsia="zh-CN" w:bidi="ar-SA"/>
        </w:rPr>
      </w:pPr>
      <w:bookmarkStart w:id="126" w:name="_Toc342913391"/>
      <w:bookmarkStart w:id="127" w:name="_Toc439685500"/>
      <w:bookmarkStart w:id="128" w:name="_Toc4321"/>
      <w:r>
        <w:rPr>
          <w:rFonts w:hint="eastAsia" w:ascii="仿宋" w:hAnsi="仿宋" w:eastAsia="仿宋" w:cs="仿宋"/>
          <w:b/>
          <w:color w:val="auto"/>
          <w:kern w:val="2"/>
          <w:sz w:val="24"/>
          <w:szCs w:val="24"/>
          <w:lang w:val="en-US" w:eastAsia="zh-CN" w:bidi="ar-SA"/>
        </w:rPr>
        <w:t>二、</w:t>
      </w:r>
      <w:bookmarkEnd w:id="126"/>
      <w:bookmarkEnd w:id="127"/>
      <w:r>
        <w:rPr>
          <w:rFonts w:hint="eastAsia" w:ascii="仿宋" w:hAnsi="仿宋" w:eastAsia="仿宋" w:cs="仿宋"/>
          <w:b/>
          <w:color w:val="auto"/>
          <w:kern w:val="2"/>
          <w:sz w:val="24"/>
          <w:szCs w:val="24"/>
          <w:lang w:val="en-US" w:eastAsia="zh-CN" w:bidi="ar-SA"/>
        </w:rPr>
        <w:t>比选文件</w:t>
      </w:r>
      <w:bookmarkEnd w:id="128"/>
    </w:p>
    <w:p w14:paraId="715378DE">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bookmarkStart w:id="129" w:name="_Toc342913392"/>
      <w:bookmarkStart w:id="130" w:name="_Toc179714297"/>
      <w:bookmarkStart w:id="131" w:name="_Toc439685501"/>
      <w:bookmarkStart w:id="132" w:name="_Toc102227318"/>
      <w:r>
        <w:rPr>
          <w:rFonts w:hint="eastAsia" w:ascii="仿宋" w:hAnsi="仿宋" w:eastAsia="仿宋" w:cs="仿宋"/>
          <w:color w:val="auto"/>
          <w:sz w:val="24"/>
          <w:szCs w:val="24"/>
          <w:highlight w:val="none"/>
          <w:lang w:val="en-US" w:eastAsia="zh-CN"/>
        </w:rPr>
        <w:t>（一）比选文件由采购邀请书、项目服务需求、项目商务需求、比选程序及方法、评审标准、无效响应和采购终止、供应商须知、合同草案条款、响应文件编制要求七部分组成。</w:t>
      </w:r>
    </w:p>
    <w:p w14:paraId="738D6204">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（二）采购人或采购代理机构所作的一切有效的书面通知、修改及补充，都是比选文件不可分割的部分。</w:t>
      </w:r>
    </w:p>
    <w:p w14:paraId="7F27408B">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（三）比选文件的解释</w:t>
      </w:r>
    </w:p>
    <w:p w14:paraId="7CF299ED">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供应商如对比选文件有疑问，必须以书面形式在提交响应文件截止时间3个工作日前向采购人或采购代理机构要求澄清，采购人或采购代理机构可视具体情况做出处理或答复。如供应商未提出疑问，视为完全理解并同意本比选文件。一经进入比选程序，即视为供应商已详细阅读全部文件资料，完全理解比选文件所有条款内容并同意放弃对这方面有不明白及误解的权利。</w:t>
      </w:r>
      <w:bookmarkStart w:id="133" w:name="_Toc318166429"/>
      <w:bookmarkStart w:id="134" w:name="_Toc318159349"/>
      <w:bookmarkStart w:id="135" w:name="_Toc318159780"/>
      <w:bookmarkStart w:id="136" w:name="_Toc318159160"/>
    </w:p>
    <w:p w14:paraId="2F815FCC">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（四）本比选文件中，比选小组根据与供应商进行比选可能实质性变动的内容为比选文件第二、三、六篇全部内容。</w:t>
      </w:r>
    </w:p>
    <w:p w14:paraId="6A380728">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（五）评审的依据为比选文件和响应文件（含有效的书面承诺）。比选小组判断响应文件对比选文件的响应，仅基于响应文件本身而不靠外部证据。</w:t>
      </w:r>
    </w:p>
    <w:bookmarkEnd w:id="133"/>
    <w:bookmarkEnd w:id="134"/>
    <w:bookmarkEnd w:id="135"/>
    <w:bookmarkEnd w:id="136"/>
    <w:p w14:paraId="6807D82D">
      <w:pPr>
        <w:pStyle w:val="3"/>
        <w:pageBreakBefore w:val="0"/>
        <w:widowControl w:val="0"/>
        <w:numPr>
          <w:ilvl w:val="0"/>
          <w:numId w:val="0"/>
        </w:numPr>
        <w:kinsoku/>
        <w:wordWrap/>
        <w:overflowPunct/>
        <w:topLinePunct w:val="0"/>
        <w:autoSpaceDE/>
        <w:autoSpaceDN/>
        <w:bidi w:val="0"/>
        <w:spacing w:line="400" w:lineRule="exact"/>
        <w:textAlignment w:val="auto"/>
        <w:rPr>
          <w:rFonts w:hint="eastAsia" w:ascii="仿宋" w:hAnsi="仿宋" w:eastAsia="仿宋" w:cs="仿宋"/>
          <w:b/>
          <w:color w:val="auto"/>
          <w:kern w:val="2"/>
          <w:sz w:val="24"/>
          <w:szCs w:val="24"/>
          <w:lang w:val="en-US" w:eastAsia="zh-CN" w:bidi="ar-SA"/>
        </w:rPr>
      </w:pPr>
      <w:bookmarkStart w:id="137" w:name="_Toc29062"/>
      <w:r>
        <w:rPr>
          <w:rFonts w:hint="eastAsia" w:ascii="仿宋" w:hAnsi="仿宋" w:eastAsia="仿宋" w:cs="仿宋"/>
          <w:b/>
          <w:color w:val="auto"/>
          <w:kern w:val="2"/>
          <w:sz w:val="24"/>
          <w:szCs w:val="24"/>
          <w:lang w:val="en-US" w:eastAsia="zh-CN" w:bidi="ar-SA"/>
        </w:rPr>
        <w:t>三、比选要求</w:t>
      </w:r>
      <w:bookmarkEnd w:id="129"/>
      <w:bookmarkEnd w:id="130"/>
      <w:bookmarkEnd w:id="131"/>
      <w:bookmarkEnd w:id="132"/>
      <w:bookmarkEnd w:id="137"/>
    </w:p>
    <w:p w14:paraId="3A8BE2F4">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bookmarkStart w:id="138" w:name="_Toc439685502"/>
      <w:r>
        <w:rPr>
          <w:rFonts w:hint="eastAsia" w:ascii="仿宋" w:hAnsi="仿宋" w:eastAsia="仿宋" w:cs="仿宋"/>
          <w:color w:val="auto"/>
          <w:sz w:val="24"/>
          <w:szCs w:val="24"/>
          <w:highlight w:val="none"/>
          <w:lang w:val="en-US" w:eastAsia="zh-CN"/>
        </w:rPr>
        <w:t>（一）响应文件</w:t>
      </w:r>
    </w:p>
    <w:p w14:paraId="7BB946B5">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1.供应商应当按照比选文件的要求编制响应文件，并对比选文件提出的要求和条件作出实质性响应，响应文件原则上采用软面订本，同时应编制完整的页码、目录。</w:t>
      </w:r>
    </w:p>
    <w:p w14:paraId="244688FC">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2.响应文件组成</w:t>
      </w:r>
    </w:p>
    <w:p w14:paraId="68401D1D">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响应文件由第七篇“响应文件编制要求”规定的部分和供应商所作的一切有效补充、修改和承诺等文件组成，供应商应按照第七篇“响应文件编制要求”规定的目录顺序组织编写和装订，也可在基本格式基础上对表格进行扩展，未规定格式的由供应商自定格式。</w:t>
      </w:r>
    </w:p>
    <w:p w14:paraId="65907452">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（二）联合体</w:t>
      </w:r>
    </w:p>
    <w:p w14:paraId="675C324B">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本项目不接受联合体比选。</w:t>
      </w:r>
    </w:p>
    <w:p w14:paraId="0AB4506E">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（三）比选有效期：响应文件及有关承诺文件有效期为提交响应文件截止时间起90天。</w:t>
      </w:r>
    </w:p>
    <w:p w14:paraId="07D3BC4A">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（四）比选保证金：</w:t>
      </w:r>
    </w:p>
    <w:p w14:paraId="3A646E35">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1.供应商提交保证金金额和方式详见本文件第一篇“五、比选保证金”；</w:t>
      </w:r>
    </w:p>
    <w:p w14:paraId="655E9A36">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2.发生以下情况之一者，比选保证金不予退还：</w:t>
      </w:r>
    </w:p>
    <w:p w14:paraId="6D51F7D4">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2.1 供应商在提交响应文件截止时间后撤回响应文件的；</w:t>
      </w:r>
    </w:p>
    <w:p w14:paraId="0A28BB2B">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2.2 供应商在响应文件中提供虚假材料的；</w:t>
      </w:r>
    </w:p>
    <w:p w14:paraId="6A104706">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2.3 除因不可抗力或比选文件认可的情形以外，成交供应商不与采购人签订合同的；</w:t>
      </w:r>
    </w:p>
    <w:p w14:paraId="080FACB9">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2.4 供应商与采购人、其他供应商或者采购代理机构恶意串通的；</w:t>
      </w:r>
    </w:p>
    <w:p w14:paraId="367964EA">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2.5 成交供应商不按规定的时间或拒绝按中标状态签订合同（即不按照竞争性比选文件确定的合同文本以及采购标的、规格型号、采购金额、采购数量、服务和商务要求等事项签订采购合同的。）。</w:t>
      </w:r>
    </w:p>
    <w:p w14:paraId="51E5DDAC">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（四）修正错误</w:t>
      </w:r>
    </w:p>
    <w:p w14:paraId="6C04DCF6">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1.若供应商所递交的响应文件中的价格出现大写金额和小写金额不一致的错误，以大写金额修正为准。</w:t>
      </w:r>
    </w:p>
    <w:p w14:paraId="2B4C163A">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2.比选小组按上述修正错误的原则及方法修正供应商的报价，供应商同意并签字确认后，修正后的报价对供应商具有约束作用。如果供应商不接受修正后的价格，将失去成为成交供应商的资格。</w:t>
      </w:r>
    </w:p>
    <w:p w14:paraId="0EB30A14">
      <w:pPr>
        <w:pageBreakBefore w:val="0"/>
        <w:widowControl w:val="0"/>
        <w:kinsoku/>
        <w:wordWrap/>
        <w:overflowPunct/>
        <w:topLinePunct w:val="0"/>
        <w:autoSpaceDE/>
        <w:autoSpaceDN/>
        <w:bidi w:val="0"/>
        <w:snapToGrid w:val="0"/>
        <w:spacing w:line="40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（五）提交</w:t>
      </w:r>
      <w:r>
        <w:rPr>
          <w:rFonts w:hint="eastAsia" w:ascii="仿宋" w:hAnsi="仿宋" w:eastAsia="仿宋" w:cs="仿宋"/>
          <w:color w:val="auto"/>
          <w:sz w:val="24"/>
          <w:szCs w:val="24"/>
          <w:highlight w:val="none"/>
          <w:lang w:eastAsia="zh-CN"/>
        </w:rPr>
        <w:t>响应文件</w:t>
      </w:r>
      <w:r>
        <w:rPr>
          <w:rFonts w:hint="eastAsia" w:ascii="仿宋" w:hAnsi="仿宋" w:eastAsia="仿宋" w:cs="仿宋"/>
          <w:color w:val="auto"/>
          <w:sz w:val="24"/>
          <w:szCs w:val="24"/>
          <w:highlight w:val="none"/>
        </w:rPr>
        <w:t>的份数和签署</w:t>
      </w:r>
    </w:p>
    <w:p w14:paraId="0EE47319">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color w:val="auto"/>
          <w:sz w:val="24"/>
          <w:szCs w:val="24"/>
          <w:highlight w:val="none"/>
          <w:lang w:val="en-US" w:eastAsia="zh-CN"/>
        </w:rPr>
        <w:t>1.</w:t>
      </w:r>
      <w:r>
        <w:rPr>
          <w:rFonts w:hint="eastAsia" w:ascii="仿宋" w:hAnsi="仿宋" w:eastAsia="仿宋" w:cs="仿宋"/>
          <w:b/>
          <w:bCs/>
          <w:color w:val="auto"/>
          <w:sz w:val="24"/>
          <w:szCs w:val="24"/>
          <w:highlight w:val="none"/>
          <w:lang w:val="en-US" w:eastAsia="zh-CN"/>
        </w:rPr>
        <w:t>响应文件一式四份，其中正本一份，副本二份，电子文档一份</w:t>
      </w:r>
      <w:r>
        <w:rPr>
          <w:rFonts w:hint="eastAsia" w:ascii="仿宋" w:hAnsi="仿宋" w:eastAsia="仿宋" w:cs="仿宋"/>
          <w:b w:val="0"/>
          <w:bCs w:val="0"/>
          <w:color w:val="auto"/>
          <w:sz w:val="24"/>
          <w:szCs w:val="24"/>
          <w:highlight w:val="none"/>
          <w:lang w:val="en-US" w:eastAsia="zh-CN"/>
        </w:rPr>
        <w:t>（电子文档内容应与纸质文件正本一致，如不一致以纸质文件正本为准。推荐采用光盘或U盘为电子文档载体）；副本可为正本的复印件，应与正本一致，如出现不一致情况以正本为准。</w:t>
      </w:r>
    </w:p>
    <w:p w14:paraId="23222EB9">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2.在响应文件中，正本必须按第七篇响应文件编制要求签字、盖章，副本可为正本的复印件，应与正本一致，如出现不一致情况以正本为准。</w:t>
      </w:r>
    </w:p>
    <w:p w14:paraId="40F02C8C">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（六）响应文件的递交</w:t>
      </w:r>
    </w:p>
    <w:p w14:paraId="527C63B0">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1.响应文件的密封与标记</w:t>
      </w:r>
    </w:p>
    <w:p w14:paraId="68139BB2">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响应文件的正本一份和U盘或光盘装入一个密封袋，副本二份装入一个密封袋。密封袋上注明项目编号、项目名称、供应商名称、“正本”、“副本”字样。密封袋的封口应加盖供应商公章或法人授权代表签字并有字样：2026年  月   日  时  分（北京时间）前不得开启的密封条。</w:t>
      </w:r>
    </w:p>
    <w:p w14:paraId="29079FE0">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2.响应文件递交截止时间：参阅采购邀请书。</w:t>
      </w:r>
    </w:p>
    <w:p w14:paraId="7A7B29BE">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3.响应文件语言：简体中文</w:t>
      </w:r>
    </w:p>
    <w:p w14:paraId="1C1CA37C">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（七）供应商参与人员</w:t>
      </w:r>
    </w:p>
    <w:p w14:paraId="182658B8">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各个供应商可派1-2名代表参与比选，至少1人应为法定代表人或具有法定代表人授权委托书的授权代表。</w:t>
      </w:r>
    </w:p>
    <w:p w14:paraId="246407D2">
      <w:pPr>
        <w:pStyle w:val="3"/>
        <w:pageBreakBefore w:val="0"/>
        <w:widowControl w:val="0"/>
        <w:numPr>
          <w:ilvl w:val="0"/>
          <w:numId w:val="0"/>
        </w:numPr>
        <w:kinsoku/>
        <w:wordWrap/>
        <w:overflowPunct/>
        <w:topLinePunct w:val="0"/>
        <w:autoSpaceDE/>
        <w:autoSpaceDN/>
        <w:bidi w:val="0"/>
        <w:spacing w:line="400" w:lineRule="exact"/>
        <w:textAlignment w:val="auto"/>
        <w:rPr>
          <w:rFonts w:hint="eastAsia" w:ascii="仿宋" w:hAnsi="仿宋" w:eastAsia="仿宋" w:cs="仿宋"/>
          <w:b/>
          <w:color w:val="auto"/>
          <w:kern w:val="2"/>
          <w:sz w:val="24"/>
          <w:szCs w:val="24"/>
          <w:lang w:val="en-US" w:eastAsia="zh-CN" w:bidi="ar-SA"/>
        </w:rPr>
      </w:pPr>
      <w:bookmarkStart w:id="139" w:name="_Toc24826"/>
      <w:r>
        <w:rPr>
          <w:rFonts w:hint="eastAsia" w:ascii="仿宋" w:hAnsi="仿宋" w:eastAsia="仿宋" w:cs="仿宋"/>
          <w:b/>
          <w:color w:val="auto"/>
          <w:kern w:val="2"/>
          <w:sz w:val="24"/>
          <w:szCs w:val="24"/>
          <w:lang w:val="en-US" w:eastAsia="zh-CN" w:bidi="ar-SA"/>
        </w:rPr>
        <w:t>四、成交供应商的确认和变更</w:t>
      </w:r>
      <w:bookmarkEnd w:id="138"/>
      <w:bookmarkEnd w:id="139"/>
    </w:p>
    <w:p w14:paraId="71D24DF2">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bookmarkStart w:id="140" w:name="_Toc342913395"/>
      <w:bookmarkStart w:id="141" w:name="_Toc102227321"/>
      <w:bookmarkStart w:id="142" w:name="_Toc439685503"/>
      <w:r>
        <w:rPr>
          <w:rFonts w:hint="eastAsia" w:ascii="仿宋" w:hAnsi="仿宋" w:eastAsia="仿宋" w:cs="仿宋"/>
          <w:color w:val="auto"/>
          <w:sz w:val="24"/>
          <w:szCs w:val="24"/>
          <w:highlight w:val="none"/>
          <w:lang w:val="en-US" w:eastAsia="zh-CN"/>
        </w:rPr>
        <w:t>（一）成交供应商的确认</w:t>
      </w:r>
    </w:p>
    <w:p w14:paraId="33D64B19">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采购代理机构应当在评审结束后2个工作日内将评审报告送采购人确认。采购人应当在收到评审报告后5个工作日内，从评审报告提出的中标候选人中，按照排序由高到低的原则确定成交供应商，也可以书面授权比选小组直接确定成交供应商。采购人逾期未确定成交供应商且不提出异议的，视为确定评审报告提出的排序第一的供应商为成交供应商。</w:t>
      </w:r>
    </w:p>
    <w:p w14:paraId="60A4A152">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（二）成交供应商的变更</w:t>
      </w:r>
    </w:p>
    <w:p w14:paraId="48100B09">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成交供应商拒绝签订政府采购合同的，采购人可以按照评审报告推荐的成交供应商顺序，确定排名下一位的候选人为成交供应商，也可以重新开展政府采购活动。拒绝签订政府采购合同的成交供应商不得参加对该项目重新开展的采购活动。</w:t>
      </w:r>
    </w:p>
    <w:p w14:paraId="1F045468">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2.成交供应商无充分理由放弃中标的，采购人将会同采购代理机构把相关情况报财政部门，财政部门将根据相关法律法规的规定对违规供应商进行处罚。</w:t>
      </w:r>
    </w:p>
    <w:p w14:paraId="57AC641D">
      <w:pPr>
        <w:pStyle w:val="3"/>
        <w:pageBreakBefore w:val="0"/>
        <w:widowControl w:val="0"/>
        <w:numPr>
          <w:ilvl w:val="0"/>
          <w:numId w:val="0"/>
        </w:numPr>
        <w:kinsoku/>
        <w:wordWrap/>
        <w:overflowPunct/>
        <w:topLinePunct w:val="0"/>
        <w:autoSpaceDE/>
        <w:autoSpaceDN/>
        <w:bidi w:val="0"/>
        <w:spacing w:line="400" w:lineRule="exact"/>
        <w:textAlignment w:val="auto"/>
        <w:rPr>
          <w:rFonts w:hint="eastAsia" w:ascii="仿宋" w:hAnsi="仿宋" w:eastAsia="仿宋" w:cs="仿宋"/>
          <w:b/>
          <w:color w:val="auto"/>
          <w:kern w:val="2"/>
          <w:sz w:val="24"/>
          <w:szCs w:val="24"/>
          <w:lang w:val="en-US" w:eastAsia="zh-CN" w:bidi="ar-SA"/>
        </w:rPr>
      </w:pPr>
      <w:bookmarkStart w:id="143" w:name="_Toc15527"/>
      <w:r>
        <w:rPr>
          <w:rFonts w:hint="eastAsia" w:ascii="仿宋" w:hAnsi="仿宋" w:eastAsia="仿宋" w:cs="仿宋"/>
          <w:b/>
          <w:color w:val="auto"/>
          <w:kern w:val="2"/>
          <w:sz w:val="24"/>
          <w:szCs w:val="24"/>
          <w:lang w:val="en-US" w:eastAsia="zh-CN" w:bidi="ar-SA"/>
        </w:rPr>
        <w:t>五、中标（成交）通知</w:t>
      </w:r>
      <w:bookmarkEnd w:id="140"/>
      <w:bookmarkEnd w:id="141"/>
      <w:bookmarkEnd w:id="142"/>
      <w:bookmarkEnd w:id="143"/>
    </w:p>
    <w:p w14:paraId="189123DF">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bookmarkStart w:id="144" w:name="_Toc439685504"/>
      <w:r>
        <w:rPr>
          <w:rFonts w:hint="eastAsia" w:ascii="仿宋" w:hAnsi="仿宋" w:eastAsia="仿宋" w:cs="仿宋"/>
          <w:color w:val="auto"/>
          <w:sz w:val="24"/>
          <w:szCs w:val="24"/>
          <w:highlight w:val="none"/>
          <w:lang w:val="en-US" w:eastAsia="zh-CN"/>
        </w:rPr>
        <w:t>（一）成交供应商确定后，采购代理机构将在重庆市子漫人力资源服务有限公司官网（https://www.cqzmwsrc.com/）上发布中标（成交）结果公告。</w:t>
      </w:r>
    </w:p>
    <w:p w14:paraId="62942F73">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（二）结果公告发出同时，采购代理机构将以书面形式发出《中标（成交）通知书》。《中标（成交）通知书》一经发出即发生法律效力。</w:t>
      </w:r>
    </w:p>
    <w:p w14:paraId="21068D74">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（三）《中标（成交）通知书》将作为签订合同的依据。</w:t>
      </w:r>
    </w:p>
    <w:p w14:paraId="60B0DAB6">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（四）如有供应商对中标结果提出质疑的，在质疑处理完毕后发出中标（成交）通知书。</w:t>
      </w:r>
    </w:p>
    <w:p w14:paraId="4BBE9951">
      <w:pPr>
        <w:pStyle w:val="3"/>
        <w:pageBreakBefore w:val="0"/>
        <w:widowControl w:val="0"/>
        <w:numPr>
          <w:ilvl w:val="0"/>
          <w:numId w:val="0"/>
        </w:numPr>
        <w:kinsoku/>
        <w:wordWrap/>
        <w:overflowPunct/>
        <w:topLinePunct w:val="0"/>
        <w:autoSpaceDE/>
        <w:autoSpaceDN/>
        <w:bidi w:val="0"/>
        <w:spacing w:line="400" w:lineRule="exact"/>
        <w:textAlignment w:val="auto"/>
        <w:rPr>
          <w:rFonts w:hint="eastAsia" w:ascii="仿宋" w:hAnsi="仿宋" w:eastAsia="仿宋" w:cs="仿宋"/>
          <w:b/>
          <w:color w:val="auto"/>
          <w:kern w:val="2"/>
          <w:sz w:val="24"/>
          <w:szCs w:val="24"/>
          <w:lang w:val="en-US" w:eastAsia="zh-CN" w:bidi="ar-SA"/>
        </w:rPr>
      </w:pPr>
      <w:bookmarkStart w:id="145" w:name="_Toc20720"/>
      <w:r>
        <w:rPr>
          <w:rFonts w:hint="eastAsia" w:ascii="仿宋" w:hAnsi="仿宋" w:eastAsia="仿宋" w:cs="仿宋"/>
          <w:b/>
          <w:color w:val="auto"/>
          <w:kern w:val="2"/>
          <w:sz w:val="24"/>
          <w:szCs w:val="24"/>
          <w:lang w:val="en-US" w:eastAsia="zh-CN" w:bidi="ar-SA"/>
        </w:rPr>
        <w:t>六、关于质疑和投诉</w:t>
      </w:r>
      <w:bookmarkEnd w:id="144"/>
      <w:bookmarkEnd w:id="145"/>
    </w:p>
    <w:p w14:paraId="57600AC7">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bookmarkStart w:id="146" w:name="_Toc102227322"/>
      <w:bookmarkStart w:id="147" w:name="_Toc439685507"/>
      <w:bookmarkStart w:id="148" w:name="_Toc342913396"/>
      <w:r>
        <w:rPr>
          <w:rFonts w:hint="eastAsia" w:ascii="仿宋" w:hAnsi="仿宋" w:eastAsia="仿宋" w:cs="仿宋"/>
          <w:color w:val="auto"/>
          <w:sz w:val="24"/>
          <w:szCs w:val="24"/>
          <w:highlight w:val="none"/>
          <w:lang w:val="en-US" w:eastAsia="zh-CN"/>
        </w:rPr>
        <w:t>（一）质疑</w:t>
      </w:r>
    </w:p>
    <w:p w14:paraId="443111C4">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供应商认为竞争性比选文件、采购过程和中标结果使自己的权益收到伤害的，可向采购人或采购代理机构以书面形式提出质疑。</w:t>
      </w:r>
    </w:p>
    <w:p w14:paraId="4FCA4887">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提出质疑的应当是参与所质疑项目采购活动的供应商。</w:t>
      </w:r>
    </w:p>
    <w:p w14:paraId="10B030C8">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1.质疑内容、时限</w:t>
      </w:r>
    </w:p>
    <w:p w14:paraId="6ED6AF00">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1.1供应商认为竞争性比选文件、采购过程、中标结果使自己的权益受到损害的，可以在知道或者应知其权益受到损害之日起7个工作日内，以书面形式向采购人、采购代理机构提出质疑。</w:t>
      </w:r>
    </w:p>
    <w:p w14:paraId="370A5654">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1.2 供应商提出质疑应当提交质疑函和必要的证明材料，质疑函应当包括下列内容：</w:t>
      </w:r>
    </w:p>
    <w:p w14:paraId="2D3BEC75">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（1）供应商的姓名或者名称、地址、邮编、联系人及联系电话；</w:t>
      </w:r>
    </w:p>
    <w:p w14:paraId="47157A2B">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（2）质疑项目的名称、项目号以及招标项目编号；</w:t>
      </w:r>
    </w:p>
    <w:p w14:paraId="72D52CAE">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（3）具体、明确的质疑事项和与质疑事项相关的请求；</w:t>
      </w:r>
    </w:p>
    <w:p w14:paraId="57230773">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（4）事实依据；</w:t>
      </w:r>
    </w:p>
    <w:p w14:paraId="7C8FAD25">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（5）必要的法律依据；</w:t>
      </w:r>
    </w:p>
    <w:p w14:paraId="09A5B376">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（6）提出质疑的日期；</w:t>
      </w:r>
    </w:p>
    <w:p w14:paraId="74C6FA3A">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（7）营业执照（或事业单位法人证书，或个体工商户营业执照或有效的自然人身份证明、组织机构代码证）复印件；</w:t>
      </w:r>
    </w:p>
    <w:p w14:paraId="110A69AF">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（8）法定代表人授权委托书原件、法定代表人身份证复印件和其授权代表的身份证复印件（供应商为自然人的提供自然人身份证复印件）；</w:t>
      </w:r>
    </w:p>
    <w:p w14:paraId="62D1FB6F">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1.3 供应商为自然人的，质疑函应当由本人签字；供应商为法人或者其他组织的，质疑函应当由法定代表人、主要负责人，或者其授权代表签字或者盖章，并加盖公章。</w:t>
      </w:r>
    </w:p>
    <w:p w14:paraId="63603232">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2.质疑答复</w:t>
      </w:r>
    </w:p>
    <w:p w14:paraId="3BD3EEA9">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采购人、采购代理机构应当在收到供应商的书面质疑后七个工作日内作出答复，并以书面形式通知质疑供应商和其他有关供应商。</w:t>
      </w:r>
    </w:p>
    <w:p w14:paraId="4BCD89F4">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3.其他</w:t>
      </w:r>
    </w:p>
    <w:p w14:paraId="3703F80C">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3.1 供应商应按照《政府采购质疑和投诉办法》（财政部令第94号）及相关法律法规要求，在法定质疑期内一次性提出针对同一采购程序环节的质疑。</w:t>
      </w:r>
    </w:p>
    <w:p w14:paraId="031ED2CF">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3.2 质疑函范本可在财政部门户网站和中国政府采购网下载。</w:t>
      </w:r>
    </w:p>
    <w:p w14:paraId="71922FAD">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（二）投诉</w:t>
      </w:r>
    </w:p>
    <w:p w14:paraId="5A022E11">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1.供应商对采购人、采购代理机构的答复不满意，或者采购人、采购代理机构未在规定时间内作出答复的，可以在答复期满后15个工作日内按照相关法律法规向财政部门提起投诉。</w:t>
      </w:r>
    </w:p>
    <w:p w14:paraId="5D5B0680">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2.供应商应按照《政府采购质疑和投诉办法》（财政部令第94号）及相关法律法规要求递交投诉书和必要的证明材料。投诉书范本可在财政部门户网站和中国政府采购网下载。</w:t>
      </w:r>
    </w:p>
    <w:p w14:paraId="5A8CD63F">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投诉书应当使用中文，相关当事人提供外文书证或者外国语视听资料的，应当附有中文译本，由翻译机构盖章或者翻译人员签名；相关当事人向财政部门提供的在中华人民共和国领域外形成的证据，应当说明来源，经所在国公证机关证明，并经中华人民共和国驻该国使领馆认证，或者履行中华人民共和国与证据所在国订立的有关条约中规定的证明手续；相关当事人提供的在香港特别行政区、澳门特别行政区和台湾地区内形成的证据，应当履行相关的证明手续。</w:t>
      </w:r>
    </w:p>
    <w:p w14:paraId="5ABFCE45">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4.在确定受理投诉后，财政部门自受理投诉之日起30个工作日内（需要检验、检测、鉴定、专家评审以及需要投诉人补正材料的，所需时间不计算在投诉处理期限内）对投诉事项做出处理决定。</w:t>
      </w:r>
    </w:p>
    <w:p w14:paraId="3E28125E">
      <w:pPr>
        <w:pStyle w:val="3"/>
        <w:pageBreakBefore w:val="0"/>
        <w:widowControl w:val="0"/>
        <w:numPr>
          <w:ilvl w:val="0"/>
          <w:numId w:val="0"/>
        </w:numPr>
        <w:kinsoku/>
        <w:wordWrap/>
        <w:overflowPunct/>
        <w:topLinePunct w:val="0"/>
        <w:autoSpaceDE/>
        <w:autoSpaceDN/>
        <w:bidi w:val="0"/>
        <w:spacing w:line="400" w:lineRule="exact"/>
        <w:textAlignment w:val="auto"/>
        <w:rPr>
          <w:rFonts w:hint="eastAsia" w:ascii="仿宋" w:hAnsi="仿宋" w:eastAsia="仿宋" w:cs="仿宋"/>
          <w:b/>
          <w:color w:val="auto"/>
          <w:kern w:val="2"/>
          <w:sz w:val="24"/>
          <w:szCs w:val="24"/>
          <w:lang w:val="en-US" w:eastAsia="zh-CN" w:bidi="ar-SA"/>
        </w:rPr>
      </w:pPr>
      <w:bookmarkStart w:id="149" w:name="_Toc28119"/>
      <w:r>
        <w:rPr>
          <w:rFonts w:hint="eastAsia" w:ascii="仿宋" w:hAnsi="仿宋" w:eastAsia="仿宋" w:cs="仿宋"/>
          <w:b/>
          <w:color w:val="auto"/>
          <w:kern w:val="2"/>
          <w:sz w:val="24"/>
          <w:szCs w:val="24"/>
          <w:lang w:val="en-US" w:eastAsia="zh-CN" w:bidi="ar-SA"/>
        </w:rPr>
        <w:t>七、采购代理服务费</w:t>
      </w:r>
      <w:bookmarkEnd w:id="149"/>
    </w:p>
    <w:p w14:paraId="796FB5AB">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（一）成交供应商在领取成交通知书前，向采购代理机构支付代理服务费5000.00元。</w:t>
      </w:r>
    </w:p>
    <w:p w14:paraId="780C7C74">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（二）服务费以转账方式支付。</w:t>
      </w:r>
    </w:p>
    <w:p w14:paraId="569951CC">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（三）采购代理服务费缴纳账号：</w:t>
      </w:r>
    </w:p>
    <w:p w14:paraId="12EF8FE6">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户 名：重庆市聚创招标代理有限公司</w:t>
      </w:r>
    </w:p>
    <w:p w14:paraId="33FF8138">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开户行：中国建设银行股份有限公司重庆南坪支行</w:t>
      </w:r>
    </w:p>
    <w:p w14:paraId="0101806A">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账 号：5005 0107 3600 0000 2102</w:t>
      </w:r>
    </w:p>
    <w:p w14:paraId="7A538FC8">
      <w:pPr>
        <w:pStyle w:val="3"/>
        <w:pageBreakBefore w:val="0"/>
        <w:widowControl w:val="0"/>
        <w:numPr>
          <w:ilvl w:val="0"/>
          <w:numId w:val="0"/>
        </w:numPr>
        <w:kinsoku/>
        <w:wordWrap/>
        <w:overflowPunct/>
        <w:topLinePunct w:val="0"/>
        <w:autoSpaceDE/>
        <w:autoSpaceDN/>
        <w:bidi w:val="0"/>
        <w:spacing w:line="400" w:lineRule="exact"/>
        <w:textAlignment w:val="auto"/>
        <w:rPr>
          <w:rFonts w:hint="eastAsia" w:ascii="仿宋" w:hAnsi="仿宋" w:eastAsia="仿宋" w:cs="仿宋"/>
          <w:b/>
          <w:color w:val="auto"/>
          <w:kern w:val="2"/>
          <w:sz w:val="24"/>
          <w:szCs w:val="24"/>
          <w:lang w:val="en-US" w:eastAsia="zh-CN" w:bidi="ar-SA"/>
        </w:rPr>
      </w:pPr>
      <w:bookmarkStart w:id="150" w:name="_Toc23251"/>
      <w:r>
        <w:rPr>
          <w:rFonts w:hint="eastAsia" w:ascii="仿宋" w:hAnsi="仿宋" w:eastAsia="仿宋" w:cs="仿宋"/>
          <w:b/>
          <w:color w:val="auto"/>
          <w:kern w:val="2"/>
          <w:sz w:val="24"/>
          <w:szCs w:val="24"/>
          <w:lang w:val="en-US" w:eastAsia="zh-CN" w:bidi="ar-SA"/>
        </w:rPr>
        <w:t>八、签订</w:t>
      </w:r>
      <w:bookmarkEnd w:id="146"/>
      <w:r>
        <w:rPr>
          <w:rFonts w:hint="eastAsia" w:ascii="仿宋" w:hAnsi="仿宋" w:eastAsia="仿宋" w:cs="仿宋"/>
          <w:b/>
          <w:color w:val="auto"/>
          <w:kern w:val="2"/>
          <w:sz w:val="24"/>
          <w:szCs w:val="24"/>
          <w:lang w:val="en-US" w:eastAsia="zh-CN" w:bidi="ar-SA"/>
        </w:rPr>
        <w:t>合同</w:t>
      </w:r>
      <w:bookmarkEnd w:id="147"/>
      <w:bookmarkEnd w:id="148"/>
      <w:bookmarkEnd w:id="150"/>
    </w:p>
    <w:p w14:paraId="20575F8C">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（一）采购人与成交供应商应当在中标（成交）通知书发出之日起20日内，按照竞争性比选文件确定的合同文本以及采购标的、规格型号、采购金额、采购数量、服务和服务要求等事项签订采购合同。</w:t>
      </w:r>
    </w:p>
    <w:p w14:paraId="1676DF1D">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（二）比选文件、成交供应商的响应文件及有效承诺文件等，均为签订合同的依据。</w:t>
      </w:r>
    </w:p>
    <w:p w14:paraId="24CD42DD">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（三）如成交供应商放弃成交项目或在签订合同时擅自改变成交状态的，采购人将按照相关法律法规处理。</w:t>
      </w:r>
    </w:p>
    <w:p w14:paraId="4DDFF73A">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四）采购人不得向成交供应商提出超出比选文件以外的任何要求作为签订合同的条件，不得与成交供应商订立背离比选确定的合同文本以及采购标的、规格型号、采购金额、采购数量、服务和服务要求等实质性内容的协议。</w:t>
      </w:r>
    </w:p>
    <w:p w14:paraId="7588980C">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（五）除不可抗力等因素外，中标（成交）通知书发出后，采购人改变中标结果，或者成交供应商拒绝签订政府采购合同的，应当承担相应的法律责任。</w:t>
      </w:r>
    </w:p>
    <w:p w14:paraId="4F4FA253">
      <w:pPr>
        <w:pageBreakBefore w:val="0"/>
        <w:widowControl w:val="0"/>
        <w:kinsoku/>
        <w:wordWrap/>
        <w:overflowPunct/>
        <w:topLinePunct w:val="0"/>
        <w:autoSpaceDE/>
        <w:autoSpaceDN/>
        <w:bidi w:val="0"/>
        <w:spacing w:line="40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br w:type="page"/>
      </w:r>
    </w:p>
    <w:p w14:paraId="6EE32E8F">
      <w:pPr>
        <w:spacing w:line="400" w:lineRule="exact"/>
        <w:ind w:firstLine="480" w:firstLineChars="200"/>
        <w:rPr>
          <w:rFonts w:hint="eastAsia" w:ascii="仿宋" w:hAnsi="仿宋" w:eastAsia="仿宋" w:cs="仿宋"/>
          <w:color w:val="auto"/>
          <w:sz w:val="24"/>
          <w:szCs w:val="24"/>
          <w:highlight w:val="none"/>
        </w:rPr>
      </w:pPr>
    </w:p>
    <w:p w14:paraId="1DE99DB0">
      <w:pPr>
        <w:pStyle w:val="2"/>
        <w:spacing w:before="0" w:beforeLines="0" w:after="0" w:afterLines="0" w:line="360" w:lineRule="auto"/>
        <w:rPr>
          <w:rFonts w:hint="eastAsia" w:ascii="仿宋" w:hAnsi="仿宋" w:eastAsia="仿宋" w:cs="仿宋"/>
          <w:b/>
          <w:bCs/>
          <w:color w:val="auto"/>
          <w:sz w:val="44"/>
          <w:szCs w:val="44"/>
          <w:highlight w:val="none"/>
          <w:lang w:val="en-US" w:eastAsia="zh-CN"/>
        </w:rPr>
      </w:pPr>
      <w:bookmarkStart w:id="151" w:name="_Toc5627"/>
      <w:r>
        <w:rPr>
          <w:rFonts w:hint="eastAsia" w:ascii="仿宋" w:hAnsi="仿宋" w:eastAsia="仿宋" w:cs="仿宋"/>
          <w:b/>
          <w:bCs/>
          <w:color w:val="auto"/>
          <w:sz w:val="44"/>
          <w:szCs w:val="44"/>
          <w:highlight w:val="none"/>
          <w:lang w:val="en-US" w:eastAsia="zh-CN"/>
        </w:rPr>
        <w:t>第六篇  采购合同</w:t>
      </w:r>
      <w:bookmarkEnd w:id="151"/>
    </w:p>
    <w:p w14:paraId="11B5EADF">
      <w:pPr>
        <w:spacing w:line="400" w:lineRule="exact"/>
        <w:ind w:firstLine="720" w:firstLineChars="200"/>
        <w:rPr>
          <w:rFonts w:hint="eastAsia" w:ascii="仿宋" w:hAnsi="仿宋" w:eastAsia="仿宋" w:cs="仿宋"/>
          <w:color w:val="auto"/>
          <w:sz w:val="36"/>
          <w:szCs w:val="36"/>
          <w:highlight w:val="none"/>
          <w:lang w:val="en-US" w:eastAsia="zh-CN"/>
        </w:rPr>
      </w:pPr>
    </w:p>
    <w:p w14:paraId="4F05833F">
      <w:pPr>
        <w:jc w:val="center"/>
        <w:rPr>
          <w:rFonts w:hint="eastAsia" w:ascii="仿宋" w:hAnsi="仿宋" w:eastAsia="仿宋" w:cs="仿宋"/>
          <w:color w:val="auto"/>
          <w:sz w:val="28"/>
          <w:szCs w:val="32"/>
          <w:highlight w:val="none"/>
        </w:rPr>
      </w:pPr>
      <w:r>
        <w:rPr>
          <w:rFonts w:hint="eastAsia" w:ascii="仿宋" w:hAnsi="仿宋" w:eastAsia="仿宋" w:cs="仿宋"/>
          <w:color w:val="auto"/>
          <w:sz w:val="28"/>
          <w:szCs w:val="32"/>
          <w:highlight w:val="none"/>
        </w:rPr>
        <w:t>（具体与</w:t>
      </w:r>
      <w:r>
        <w:rPr>
          <w:rFonts w:hint="eastAsia" w:ascii="仿宋" w:hAnsi="仿宋" w:eastAsia="仿宋" w:cs="仿宋"/>
          <w:color w:val="auto"/>
          <w:sz w:val="28"/>
          <w:szCs w:val="32"/>
          <w:highlight w:val="none"/>
          <w:lang w:val="en-US" w:eastAsia="zh-CN"/>
        </w:rPr>
        <w:t>采购人</w:t>
      </w:r>
      <w:r>
        <w:rPr>
          <w:rFonts w:hint="eastAsia" w:ascii="仿宋" w:hAnsi="仿宋" w:eastAsia="仿宋" w:cs="仿宋"/>
          <w:color w:val="auto"/>
          <w:sz w:val="28"/>
          <w:szCs w:val="32"/>
          <w:highlight w:val="none"/>
        </w:rPr>
        <w:t>签订的合同为准）</w:t>
      </w:r>
    </w:p>
    <w:p w14:paraId="0705E4F2">
      <w:pPr>
        <w:spacing w:line="400" w:lineRule="exact"/>
        <w:ind w:firstLine="480" w:firstLineChars="200"/>
        <w:rPr>
          <w:rFonts w:hint="eastAsia" w:ascii="仿宋" w:hAnsi="仿宋" w:eastAsia="仿宋" w:cs="仿宋"/>
          <w:color w:val="auto"/>
          <w:sz w:val="24"/>
          <w:szCs w:val="24"/>
          <w:highlight w:val="none"/>
          <w:lang w:val="en-US" w:eastAsia="zh-CN"/>
        </w:rPr>
      </w:pPr>
    </w:p>
    <w:p w14:paraId="3C0723D4">
      <w:pPr>
        <w:spacing w:line="400" w:lineRule="exact"/>
        <w:ind w:firstLine="480" w:firstLineChars="200"/>
        <w:rPr>
          <w:rFonts w:hint="eastAsia" w:ascii="仿宋" w:hAnsi="仿宋" w:eastAsia="仿宋" w:cs="仿宋"/>
          <w:color w:val="auto"/>
          <w:sz w:val="24"/>
          <w:szCs w:val="24"/>
          <w:highlight w:val="none"/>
        </w:rPr>
      </w:pPr>
    </w:p>
    <w:p w14:paraId="199E371C">
      <w:pPr>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w:t>
      </w:r>
    </w:p>
    <w:p w14:paraId="62B2A38C">
      <w:pPr>
        <w:spacing w:line="400" w:lineRule="exact"/>
        <w:ind w:firstLine="480" w:firstLineChars="200"/>
        <w:rPr>
          <w:rFonts w:hint="eastAsia" w:ascii="仿宋" w:hAnsi="仿宋" w:eastAsia="仿宋" w:cs="仿宋"/>
          <w:color w:val="auto"/>
          <w:sz w:val="24"/>
          <w:szCs w:val="24"/>
          <w:highlight w:val="none"/>
        </w:rPr>
      </w:pPr>
    </w:p>
    <w:p w14:paraId="1F45151C">
      <w:pPr>
        <w:spacing w:line="400" w:lineRule="exact"/>
        <w:rPr>
          <w:rFonts w:hint="eastAsia" w:ascii="仿宋" w:hAnsi="仿宋" w:eastAsia="仿宋" w:cs="仿宋"/>
          <w:color w:val="auto"/>
          <w:sz w:val="24"/>
          <w:szCs w:val="24"/>
          <w:highlight w:val="none"/>
        </w:rPr>
      </w:pPr>
    </w:p>
    <w:p w14:paraId="64F6F1C9">
      <w:pPr>
        <w:spacing w:line="40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br w:type="page"/>
      </w:r>
    </w:p>
    <w:p w14:paraId="0F85DC6F">
      <w:pPr>
        <w:pStyle w:val="2"/>
        <w:spacing w:before="0" w:beforeLines="0" w:after="0" w:afterLines="0" w:line="360" w:lineRule="auto"/>
        <w:rPr>
          <w:rFonts w:hint="eastAsia" w:ascii="仿宋" w:hAnsi="仿宋" w:eastAsia="仿宋" w:cs="仿宋"/>
          <w:b/>
          <w:bCs/>
          <w:color w:val="auto"/>
          <w:sz w:val="44"/>
          <w:szCs w:val="44"/>
          <w:highlight w:val="none"/>
        </w:rPr>
      </w:pPr>
      <w:bookmarkStart w:id="152" w:name="_Toc13984"/>
      <w:r>
        <w:rPr>
          <w:rFonts w:hint="eastAsia" w:ascii="仿宋" w:hAnsi="仿宋" w:eastAsia="仿宋" w:cs="仿宋"/>
          <w:b/>
          <w:bCs/>
          <w:color w:val="auto"/>
          <w:sz w:val="44"/>
          <w:szCs w:val="44"/>
          <w:highlight w:val="none"/>
        </w:rPr>
        <w:t xml:space="preserve">第七篇  </w:t>
      </w:r>
      <w:r>
        <w:rPr>
          <w:rFonts w:hint="eastAsia" w:ascii="仿宋" w:hAnsi="仿宋" w:eastAsia="仿宋" w:cs="仿宋"/>
          <w:b/>
          <w:bCs/>
          <w:color w:val="auto"/>
          <w:sz w:val="44"/>
          <w:szCs w:val="44"/>
          <w:highlight w:val="none"/>
          <w:lang w:eastAsia="zh-CN"/>
        </w:rPr>
        <w:t>响应文件</w:t>
      </w:r>
      <w:r>
        <w:rPr>
          <w:rFonts w:hint="eastAsia" w:ascii="仿宋" w:hAnsi="仿宋" w:eastAsia="仿宋" w:cs="仿宋"/>
          <w:b/>
          <w:bCs/>
          <w:color w:val="auto"/>
          <w:sz w:val="44"/>
          <w:szCs w:val="44"/>
          <w:highlight w:val="none"/>
        </w:rPr>
        <w:t>编制要求</w:t>
      </w:r>
      <w:bookmarkEnd w:id="152"/>
    </w:p>
    <w:p w14:paraId="1E0D1C0D">
      <w:pPr>
        <w:snapToGrid w:val="0"/>
        <w:spacing w:line="440" w:lineRule="exact"/>
        <w:ind w:firstLine="482" w:firstLineChars="200"/>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一、经济部分</w:t>
      </w:r>
    </w:p>
    <w:p w14:paraId="08E31612">
      <w:pPr>
        <w:snapToGrid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（一）比选报价函</w:t>
      </w:r>
    </w:p>
    <w:p w14:paraId="631564D5">
      <w:pPr>
        <w:snapToGrid w:val="0"/>
        <w:spacing w:line="440" w:lineRule="exact"/>
        <w:ind w:firstLine="482" w:firstLineChars="200"/>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二、服务部分</w:t>
      </w:r>
    </w:p>
    <w:p w14:paraId="6D2E2817">
      <w:pPr>
        <w:snapToGrid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（一）服务方案（格式自定）</w:t>
      </w:r>
    </w:p>
    <w:p w14:paraId="30340C4D">
      <w:pPr>
        <w:snapToGrid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（二）服务响应偏离表</w:t>
      </w:r>
    </w:p>
    <w:p w14:paraId="4DC893C4">
      <w:pPr>
        <w:snapToGrid w:val="0"/>
        <w:spacing w:line="440" w:lineRule="exact"/>
        <w:ind w:firstLine="482" w:firstLineChars="200"/>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三、商务部分</w:t>
      </w:r>
    </w:p>
    <w:p w14:paraId="1F47C75F">
      <w:pPr>
        <w:snapToGrid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一</w:t>
      </w:r>
      <w:r>
        <w:rPr>
          <w:rFonts w:hint="eastAsia" w:ascii="仿宋" w:hAnsi="仿宋" w:eastAsia="仿宋" w:cs="仿宋"/>
          <w:color w:val="auto"/>
          <w:sz w:val="24"/>
          <w:szCs w:val="24"/>
          <w:highlight w:val="none"/>
        </w:rPr>
        <w:t>）商务响应偏离表</w:t>
      </w:r>
    </w:p>
    <w:p w14:paraId="76DD61A5">
      <w:pPr>
        <w:snapToGrid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二</w:t>
      </w:r>
      <w:r>
        <w:rPr>
          <w:rFonts w:hint="eastAsia" w:ascii="仿宋" w:hAnsi="仿宋" w:eastAsia="仿宋" w:cs="仿宋"/>
          <w:color w:val="auto"/>
          <w:sz w:val="24"/>
          <w:szCs w:val="24"/>
          <w:highlight w:val="none"/>
        </w:rPr>
        <w:t>）商务评分需提供的资料（格式自定）</w:t>
      </w:r>
    </w:p>
    <w:p w14:paraId="67BAE000">
      <w:pPr>
        <w:snapToGrid w:val="0"/>
        <w:spacing w:line="440" w:lineRule="exact"/>
        <w:ind w:firstLine="482" w:firstLineChars="200"/>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四、资格条件及其他</w:t>
      </w:r>
    </w:p>
    <w:p w14:paraId="662FEC7A">
      <w:pPr>
        <w:snapToGrid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（一）</w:t>
      </w: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法人营业执照（副本）或事业单位法人证书（副本）或个体工商户营业执照或有效的自然人身份证明或社会团体法人登记证书（提供复印件）.</w:t>
      </w:r>
    </w:p>
    <w:p w14:paraId="2C4C781A">
      <w:pPr>
        <w:snapToGrid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二</w:t>
      </w:r>
      <w:r>
        <w:rPr>
          <w:rFonts w:hint="eastAsia" w:ascii="仿宋" w:hAnsi="仿宋" w:eastAsia="仿宋" w:cs="仿宋"/>
          <w:color w:val="auto"/>
          <w:sz w:val="24"/>
          <w:szCs w:val="24"/>
          <w:highlight w:val="none"/>
        </w:rPr>
        <w:t>）法定代表人身份证明书（格式）</w:t>
      </w:r>
    </w:p>
    <w:p w14:paraId="1A57CAC3">
      <w:pPr>
        <w:snapToGrid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三</w:t>
      </w:r>
      <w:r>
        <w:rPr>
          <w:rFonts w:hint="eastAsia" w:ascii="仿宋" w:hAnsi="仿宋" w:eastAsia="仿宋" w:cs="仿宋"/>
          <w:color w:val="auto"/>
          <w:sz w:val="24"/>
          <w:szCs w:val="24"/>
          <w:highlight w:val="none"/>
        </w:rPr>
        <w:t>）法定代表人授权委托书（格式）</w:t>
      </w:r>
    </w:p>
    <w:p w14:paraId="44017AB7">
      <w:pPr>
        <w:tabs>
          <w:tab w:val="left" w:pos="6300"/>
        </w:tabs>
        <w:snapToGrid w:val="0"/>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四</w:t>
      </w:r>
      <w:r>
        <w:rPr>
          <w:rFonts w:hint="eastAsia" w:ascii="仿宋" w:hAnsi="仿宋" w:eastAsia="仿宋" w:cs="仿宋"/>
          <w:color w:val="auto"/>
          <w:sz w:val="24"/>
          <w:szCs w:val="24"/>
          <w:highlight w:val="none"/>
        </w:rPr>
        <w:t>）基本资格条件承诺函（格式）</w:t>
      </w:r>
    </w:p>
    <w:p w14:paraId="62431BB2">
      <w:pPr>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五</w:t>
      </w:r>
      <w:r>
        <w:rPr>
          <w:rFonts w:hint="eastAsia" w:ascii="仿宋" w:hAnsi="仿宋" w:eastAsia="仿宋" w:cs="仿宋"/>
          <w:color w:val="auto"/>
          <w:sz w:val="24"/>
          <w:szCs w:val="24"/>
          <w:highlight w:val="none"/>
        </w:rPr>
        <w:t>）特定资格条件证明文件</w:t>
      </w:r>
    </w:p>
    <w:p w14:paraId="448E8A0B">
      <w:pPr>
        <w:snapToGrid w:val="0"/>
        <w:spacing w:line="440" w:lineRule="exact"/>
        <w:ind w:firstLine="482" w:firstLineChars="200"/>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五、其他应提供的资料</w:t>
      </w:r>
    </w:p>
    <w:p w14:paraId="4E065761">
      <w:pPr>
        <w:tabs>
          <w:tab w:val="left" w:pos="6300"/>
        </w:tabs>
        <w:snapToGrid w:val="0"/>
        <w:spacing w:line="400" w:lineRule="exact"/>
        <w:ind w:firstLine="480" w:firstLineChars="200"/>
        <w:rPr>
          <w:rFonts w:hint="eastAsia" w:ascii="仿宋" w:hAnsi="仿宋" w:eastAsia="仿宋" w:cs="仿宋"/>
          <w:color w:val="auto"/>
          <w:sz w:val="32"/>
          <w:szCs w:val="32"/>
          <w:highlight w:val="none"/>
        </w:rPr>
      </w:pPr>
      <w:r>
        <w:rPr>
          <w:rFonts w:hint="eastAsia" w:ascii="仿宋" w:hAnsi="仿宋" w:eastAsia="仿宋" w:cs="仿宋"/>
          <w:color w:val="auto"/>
          <w:sz w:val="24"/>
          <w:szCs w:val="24"/>
          <w:highlight w:val="none"/>
        </w:rPr>
        <w:t>（一）其他与项目有关的资料</w:t>
      </w:r>
      <w:bookmarkStart w:id="153" w:name="_Toc429584884"/>
    </w:p>
    <w:p w14:paraId="12611013">
      <w:pPr>
        <w:rPr>
          <w:rFonts w:hint="eastAsia" w:ascii="仿宋" w:hAnsi="仿宋" w:eastAsia="仿宋" w:cs="仿宋"/>
          <w:color w:val="auto"/>
          <w:sz w:val="36"/>
          <w:szCs w:val="36"/>
          <w:highlight w:val="none"/>
        </w:rPr>
      </w:pPr>
      <w:r>
        <w:rPr>
          <w:rFonts w:hint="eastAsia" w:ascii="仿宋" w:hAnsi="仿宋" w:eastAsia="仿宋" w:cs="仿宋"/>
          <w:color w:val="auto"/>
          <w:sz w:val="36"/>
          <w:szCs w:val="36"/>
          <w:highlight w:val="none"/>
        </w:rPr>
        <w:br w:type="page"/>
      </w:r>
    </w:p>
    <w:p w14:paraId="0D57138E">
      <w:pPr>
        <w:spacing w:line="700" w:lineRule="exact"/>
        <w:ind w:firstLine="360" w:firstLineChars="100"/>
        <w:rPr>
          <w:rFonts w:hint="eastAsia" w:ascii="仿宋" w:hAnsi="仿宋" w:eastAsia="仿宋" w:cs="仿宋"/>
          <w:color w:val="auto"/>
          <w:sz w:val="36"/>
          <w:szCs w:val="36"/>
          <w:highlight w:val="none"/>
          <w:lang w:val="en-US" w:eastAsia="zh-CN"/>
        </w:rPr>
      </w:pPr>
      <w:r>
        <w:rPr>
          <w:rFonts w:hint="eastAsia" w:ascii="仿宋" w:hAnsi="仿宋" w:eastAsia="仿宋" w:cs="仿宋"/>
          <w:color w:val="auto"/>
          <w:sz w:val="36"/>
          <w:szCs w:val="36"/>
          <w:highlight w:val="none"/>
        </w:rPr>
        <w:t>采购执行编号:</w:t>
      </w:r>
      <w:r>
        <w:rPr>
          <w:rFonts w:hint="eastAsia" w:ascii="仿宋" w:hAnsi="仿宋" w:eastAsia="仿宋" w:cs="仿宋"/>
          <w:color w:val="auto"/>
          <w:sz w:val="36"/>
          <w:szCs w:val="36"/>
          <w:highlight w:val="none"/>
          <w:lang w:val="en-US" w:eastAsia="zh-CN"/>
        </w:rPr>
        <w:t xml:space="preserve">           </w:t>
      </w:r>
    </w:p>
    <w:p w14:paraId="1E60B744">
      <w:pPr>
        <w:spacing w:line="700" w:lineRule="exact"/>
        <w:ind w:firstLine="360" w:firstLineChars="100"/>
        <w:rPr>
          <w:rFonts w:hint="eastAsia" w:ascii="仿宋" w:hAnsi="仿宋" w:eastAsia="仿宋" w:cs="仿宋"/>
          <w:color w:val="auto"/>
          <w:sz w:val="36"/>
          <w:szCs w:val="36"/>
          <w:highlight w:val="none"/>
        </w:rPr>
      </w:pPr>
      <w:r>
        <w:rPr>
          <w:rFonts w:hint="eastAsia" w:ascii="仿宋" w:hAnsi="仿宋" w:eastAsia="仿宋" w:cs="仿宋"/>
          <w:color w:val="auto"/>
          <w:sz w:val="36"/>
          <w:szCs w:val="36"/>
          <w:highlight w:val="none"/>
        </w:rPr>
        <w:t>项目名称：</w:t>
      </w:r>
    </w:p>
    <w:p w14:paraId="03D1EB3C">
      <w:pPr>
        <w:pStyle w:val="9"/>
        <w:rPr>
          <w:rFonts w:hint="eastAsia" w:ascii="仿宋" w:hAnsi="仿宋" w:eastAsia="仿宋" w:cs="仿宋"/>
          <w:color w:val="auto"/>
          <w:sz w:val="36"/>
          <w:szCs w:val="36"/>
          <w:highlight w:val="none"/>
        </w:rPr>
      </w:pPr>
    </w:p>
    <w:p w14:paraId="6668E584">
      <w:pPr>
        <w:rPr>
          <w:rFonts w:hint="eastAsia" w:ascii="仿宋" w:hAnsi="仿宋" w:eastAsia="仿宋" w:cs="仿宋"/>
          <w:color w:val="auto"/>
          <w:highlight w:val="none"/>
        </w:rPr>
      </w:pPr>
    </w:p>
    <w:p w14:paraId="3C324B7C">
      <w:pPr>
        <w:jc w:val="center"/>
        <w:outlineLvl w:val="0"/>
        <w:rPr>
          <w:rFonts w:hint="eastAsia" w:ascii="仿宋" w:hAnsi="仿宋" w:eastAsia="仿宋" w:cs="仿宋"/>
          <w:color w:val="auto"/>
          <w:spacing w:val="80"/>
          <w:sz w:val="112"/>
          <w:szCs w:val="112"/>
          <w:highlight w:val="none"/>
        </w:rPr>
      </w:pPr>
    </w:p>
    <w:p w14:paraId="20056031">
      <w:pPr>
        <w:pStyle w:val="9"/>
        <w:rPr>
          <w:rFonts w:hint="eastAsia"/>
        </w:rPr>
      </w:pPr>
    </w:p>
    <w:p w14:paraId="0773A686">
      <w:pPr>
        <w:pStyle w:val="9"/>
        <w:rPr>
          <w:rFonts w:hint="eastAsia"/>
        </w:rPr>
      </w:pPr>
    </w:p>
    <w:p w14:paraId="75F6A0BC">
      <w:pPr>
        <w:pStyle w:val="9"/>
        <w:rPr>
          <w:rFonts w:hint="eastAsia"/>
        </w:rPr>
      </w:pPr>
    </w:p>
    <w:p w14:paraId="397CC42F">
      <w:pPr>
        <w:jc w:val="center"/>
        <w:outlineLvl w:val="0"/>
        <w:rPr>
          <w:rFonts w:hint="eastAsia" w:ascii="仿宋" w:hAnsi="仿宋" w:eastAsia="仿宋" w:cs="仿宋"/>
          <w:color w:val="auto"/>
          <w:spacing w:val="80"/>
          <w:sz w:val="112"/>
          <w:szCs w:val="112"/>
          <w:highlight w:val="none"/>
          <w:lang w:eastAsia="zh-CN"/>
        </w:rPr>
      </w:pPr>
      <w:r>
        <w:rPr>
          <w:rFonts w:hint="eastAsia" w:ascii="仿宋" w:hAnsi="仿宋" w:eastAsia="仿宋" w:cs="仿宋"/>
          <w:color w:val="auto"/>
          <w:spacing w:val="80"/>
          <w:sz w:val="112"/>
          <w:szCs w:val="112"/>
          <w:highlight w:val="none"/>
          <w:lang w:eastAsia="zh-CN"/>
        </w:rPr>
        <w:t>响应文件</w:t>
      </w:r>
    </w:p>
    <w:p w14:paraId="367AB97B">
      <w:pPr>
        <w:spacing w:line="700" w:lineRule="exact"/>
        <w:rPr>
          <w:rFonts w:hint="eastAsia" w:ascii="仿宋" w:hAnsi="仿宋" w:eastAsia="仿宋" w:cs="仿宋"/>
          <w:color w:val="auto"/>
          <w:sz w:val="32"/>
          <w:highlight w:val="none"/>
        </w:rPr>
      </w:pPr>
    </w:p>
    <w:p w14:paraId="692440BA">
      <w:pPr>
        <w:spacing w:line="700" w:lineRule="exact"/>
        <w:jc w:val="center"/>
        <w:rPr>
          <w:rFonts w:hint="eastAsia" w:ascii="仿宋" w:hAnsi="仿宋" w:eastAsia="仿宋" w:cs="仿宋"/>
          <w:b/>
          <w:color w:val="auto"/>
          <w:sz w:val="36"/>
          <w:szCs w:val="36"/>
          <w:highlight w:val="none"/>
        </w:rPr>
      </w:pPr>
    </w:p>
    <w:p w14:paraId="094B63A1">
      <w:pPr>
        <w:pStyle w:val="9"/>
        <w:rPr>
          <w:rFonts w:hint="eastAsia"/>
        </w:rPr>
      </w:pPr>
    </w:p>
    <w:p w14:paraId="609EC29F">
      <w:pPr>
        <w:pStyle w:val="9"/>
        <w:rPr>
          <w:rFonts w:hint="eastAsia"/>
        </w:rPr>
      </w:pPr>
    </w:p>
    <w:p w14:paraId="22E7713B">
      <w:pPr>
        <w:pStyle w:val="9"/>
        <w:rPr>
          <w:rFonts w:hint="eastAsia"/>
        </w:rPr>
      </w:pPr>
    </w:p>
    <w:p w14:paraId="37FDEC57">
      <w:pPr>
        <w:pStyle w:val="9"/>
        <w:rPr>
          <w:rFonts w:hint="eastAsia"/>
        </w:rPr>
      </w:pPr>
    </w:p>
    <w:p w14:paraId="2CFCD03C">
      <w:pPr>
        <w:spacing w:line="700" w:lineRule="exact"/>
        <w:rPr>
          <w:rFonts w:hint="eastAsia" w:ascii="仿宋" w:hAnsi="仿宋" w:eastAsia="仿宋" w:cs="仿宋"/>
          <w:b/>
          <w:color w:val="auto"/>
          <w:sz w:val="36"/>
          <w:szCs w:val="36"/>
          <w:highlight w:val="none"/>
        </w:rPr>
      </w:pPr>
    </w:p>
    <w:p w14:paraId="0E5DEC4D">
      <w:pPr>
        <w:spacing w:line="700" w:lineRule="exact"/>
        <w:rPr>
          <w:rFonts w:hint="eastAsia" w:ascii="仿宋" w:hAnsi="仿宋" w:eastAsia="仿宋" w:cs="仿宋"/>
          <w:color w:val="auto"/>
          <w:sz w:val="36"/>
          <w:szCs w:val="36"/>
          <w:highlight w:val="none"/>
        </w:rPr>
      </w:pPr>
    </w:p>
    <w:p w14:paraId="4A12059C">
      <w:pPr>
        <w:spacing w:line="700" w:lineRule="exact"/>
        <w:rPr>
          <w:rFonts w:hint="eastAsia" w:ascii="仿宋" w:hAnsi="仿宋" w:eastAsia="仿宋" w:cs="仿宋"/>
          <w:color w:val="auto"/>
          <w:sz w:val="16"/>
          <w:szCs w:val="16"/>
          <w:highlight w:val="none"/>
        </w:rPr>
      </w:pPr>
      <w:r>
        <w:rPr>
          <w:rFonts w:hint="eastAsia" w:ascii="仿宋" w:hAnsi="仿宋" w:eastAsia="仿宋" w:cs="仿宋"/>
          <w:color w:val="auto"/>
          <w:sz w:val="36"/>
          <w:szCs w:val="36"/>
          <w:highlight w:val="none"/>
          <w:lang w:eastAsia="zh-CN"/>
        </w:rPr>
        <w:t>供应商</w:t>
      </w:r>
      <w:r>
        <w:rPr>
          <w:rFonts w:hint="eastAsia" w:ascii="仿宋" w:hAnsi="仿宋" w:eastAsia="仿宋" w:cs="仿宋"/>
          <w:color w:val="auto"/>
          <w:sz w:val="36"/>
          <w:szCs w:val="36"/>
          <w:highlight w:val="none"/>
        </w:rPr>
        <w:t>（公章）：</w:t>
      </w:r>
    </w:p>
    <w:p w14:paraId="498EBCD0">
      <w:pPr>
        <w:spacing w:line="720" w:lineRule="exact"/>
        <w:outlineLvl w:val="0"/>
        <w:rPr>
          <w:rFonts w:hint="eastAsia" w:ascii="仿宋" w:hAnsi="仿宋" w:eastAsia="仿宋" w:cs="仿宋"/>
          <w:color w:val="auto"/>
          <w:sz w:val="36"/>
          <w:szCs w:val="36"/>
          <w:highlight w:val="none"/>
        </w:rPr>
      </w:pPr>
      <w:r>
        <w:rPr>
          <w:rFonts w:hint="eastAsia" w:ascii="仿宋" w:hAnsi="仿宋" w:eastAsia="仿宋" w:cs="仿宋"/>
          <w:color w:val="auto"/>
          <w:sz w:val="36"/>
          <w:szCs w:val="36"/>
          <w:highlight w:val="none"/>
        </w:rPr>
        <w:t>地址：</w:t>
      </w:r>
    </w:p>
    <w:p w14:paraId="6664E08D">
      <w:pPr>
        <w:spacing w:line="720" w:lineRule="exact"/>
        <w:outlineLvl w:val="0"/>
        <w:rPr>
          <w:rFonts w:hint="eastAsia" w:ascii="仿宋" w:hAnsi="仿宋" w:eastAsia="仿宋" w:cs="仿宋"/>
          <w:color w:val="auto"/>
          <w:sz w:val="36"/>
          <w:szCs w:val="36"/>
          <w:highlight w:val="none"/>
        </w:rPr>
      </w:pPr>
      <w:r>
        <w:rPr>
          <w:rFonts w:hint="eastAsia" w:ascii="仿宋" w:hAnsi="仿宋" w:eastAsia="仿宋" w:cs="仿宋"/>
          <w:color w:val="auto"/>
          <w:sz w:val="36"/>
          <w:szCs w:val="36"/>
          <w:highlight w:val="none"/>
        </w:rPr>
        <w:t>法定代表人或授权代表（签字）：</w:t>
      </w:r>
    </w:p>
    <w:p w14:paraId="7B30AF22">
      <w:pPr>
        <w:pStyle w:val="7"/>
        <w:rPr>
          <w:rFonts w:hint="eastAsia" w:ascii="仿宋" w:hAnsi="仿宋" w:eastAsia="仿宋" w:cs="仿宋"/>
          <w:color w:val="auto"/>
          <w:highlight w:val="none"/>
        </w:rPr>
      </w:pPr>
      <w:r>
        <w:rPr>
          <w:rFonts w:hint="eastAsia" w:ascii="仿宋" w:hAnsi="仿宋" w:eastAsia="仿宋" w:cs="仿宋"/>
          <w:color w:val="auto"/>
          <w:sz w:val="36"/>
          <w:szCs w:val="36"/>
          <w:highlight w:val="none"/>
        </w:rPr>
        <w:t>联系电话：</w:t>
      </w:r>
    </w:p>
    <w:p w14:paraId="411121AA">
      <w:pPr>
        <w:spacing w:line="720" w:lineRule="exact"/>
        <w:jc w:val="center"/>
        <w:outlineLvl w:val="0"/>
        <w:rPr>
          <w:rFonts w:hint="eastAsia" w:ascii="仿宋" w:hAnsi="仿宋" w:eastAsia="仿宋" w:cs="仿宋"/>
          <w:color w:val="auto"/>
          <w:sz w:val="36"/>
          <w:szCs w:val="36"/>
          <w:highlight w:val="none"/>
        </w:rPr>
      </w:pPr>
      <w:r>
        <w:rPr>
          <w:rFonts w:hint="eastAsia" w:ascii="仿宋" w:hAnsi="仿宋" w:eastAsia="仿宋" w:cs="仿宋"/>
          <w:color w:val="auto"/>
          <w:sz w:val="36"/>
          <w:szCs w:val="36"/>
          <w:highlight w:val="none"/>
        </w:rPr>
        <w:t>二〇二</w:t>
      </w:r>
      <w:r>
        <w:rPr>
          <w:rFonts w:hint="eastAsia" w:ascii="仿宋" w:hAnsi="仿宋" w:eastAsia="仿宋" w:cs="仿宋"/>
          <w:color w:val="auto"/>
          <w:sz w:val="36"/>
          <w:szCs w:val="36"/>
          <w:highlight w:val="none"/>
          <w:lang w:val="en-US" w:eastAsia="zh-CN"/>
        </w:rPr>
        <w:t>六</w:t>
      </w:r>
      <w:r>
        <w:rPr>
          <w:rFonts w:hint="eastAsia" w:ascii="仿宋" w:hAnsi="仿宋" w:eastAsia="仿宋" w:cs="仿宋"/>
          <w:color w:val="auto"/>
          <w:sz w:val="36"/>
          <w:szCs w:val="36"/>
          <w:highlight w:val="none"/>
        </w:rPr>
        <w:t>年   月   日</w:t>
      </w:r>
    </w:p>
    <w:p w14:paraId="38D1D2C2">
      <w:pPr>
        <w:spacing w:line="360" w:lineRule="auto"/>
        <w:rPr>
          <w:rFonts w:hint="eastAsia" w:ascii="仿宋" w:hAnsi="仿宋" w:eastAsia="仿宋" w:cs="仿宋"/>
          <w:bCs/>
          <w:color w:val="auto"/>
          <w:sz w:val="24"/>
          <w:szCs w:val="24"/>
          <w:highlight w:val="none"/>
        </w:rPr>
      </w:pPr>
    </w:p>
    <w:p w14:paraId="0AE18307">
      <w:pPr>
        <w:rPr>
          <w:rFonts w:hint="eastAsia" w:ascii="仿宋" w:hAnsi="仿宋" w:eastAsia="仿宋" w:cs="仿宋"/>
          <w:color w:val="auto"/>
          <w:highlight w:val="none"/>
        </w:rPr>
      </w:pPr>
      <w:r>
        <w:rPr>
          <w:rFonts w:hint="eastAsia" w:ascii="仿宋" w:hAnsi="仿宋" w:eastAsia="仿宋" w:cs="仿宋"/>
          <w:color w:val="auto"/>
          <w:highlight w:val="none"/>
        </w:rPr>
        <w:br w:type="page"/>
      </w:r>
    </w:p>
    <w:p w14:paraId="19A34989">
      <w:pPr>
        <w:pStyle w:val="3"/>
        <w:pageBreakBefore w:val="0"/>
        <w:widowControl w:val="0"/>
        <w:numPr>
          <w:ilvl w:val="0"/>
          <w:numId w:val="0"/>
        </w:numPr>
        <w:kinsoku/>
        <w:wordWrap/>
        <w:overflowPunct/>
        <w:topLinePunct w:val="0"/>
        <w:autoSpaceDE/>
        <w:autoSpaceDN/>
        <w:bidi w:val="0"/>
        <w:spacing w:line="400" w:lineRule="exact"/>
        <w:textAlignment w:val="auto"/>
        <w:rPr>
          <w:rFonts w:hint="eastAsia" w:ascii="仿宋" w:hAnsi="仿宋" w:eastAsia="仿宋" w:cs="仿宋"/>
          <w:b/>
          <w:color w:val="auto"/>
          <w:kern w:val="2"/>
          <w:sz w:val="24"/>
          <w:szCs w:val="24"/>
          <w:lang w:val="en-US" w:eastAsia="zh-CN" w:bidi="ar-SA"/>
        </w:rPr>
      </w:pPr>
      <w:bookmarkStart w:id="154" w:name="_Toc5382"/>
      <w:r>
        <w:rPr>
          <w:rFonts w:hint="eastAsia" w:ascii="仿宋" w:hAnsi="仿宋" w:eastAsia="仿宋" w:cs="仿宋"/>
          <w:b/>
          <w:color w:val="auto"/>
          <w:kern w:val="2"/>
          <w:sz w:val="24"/>
          <w:szCs w:val="24"/>
          <w:lang w:val="en-US" w:eastAsia="zh-CN" w:bidi="ar-SA"/>
        </w:rPr>
        <w:t>一、经济</w:t>
      </w:r>
      <w:bookmarkEnd w:id="153"/>
      <w:r>
        <w:rPr>
          <w:rFonts w:hint="eastAsia" w:ascii="仿宋" w:hAnsi="仿宋" w:eastAsia="仿宋" w:cs="仿宋"/>
          <w:b/>
          <w:color w:val="auto"/>
          <w:kern w:val="2"/>
          <w:sz w:val="24"/>
          <w:szCs w:val="24"/>
          <w:lang w:val="en-US" w:eastAsia="zh-CN" w:bidi="ar-SA"/>
        </w:rPr>
        <w:t>部分</w:t>
      </w:r>
      <w:bookmarkEnd w:id="154"/>
    </w:p>
    <w:p w14:paraId="04E23EEF">
      <w:pPr>
        <w:snapToGrid w:val="0"/>
        <w:spacing w:line="500" w:lineRule="exact"/>
        <w:rPr>
          <w:rFonts w:hint="eastAsia" w:ascii="仿宋" w:hAnsi="仿宋" w:eastAsia="仿宋" w:cs="仿宋"/>
          <w:color w:val="auto"/>
          <w:sz w:val="24"/>
          <w:szCs w:val="44"/>
          <w:highlight w:val="none"/>
        </w:rPr>
      </w:pPr>
      <w:r>
        <w:rPr>
          <w:rFonts w:hint="eastAsia" w:ascii="仿宋" w:hAnsi="仿宋" w:eastAsia="仿宋" w:cs="仿宋"/>
          <w:color w:val="auto"/>
          <w:sz w:val="24"/>
          <w:szCs w:val="44"/>
          <w:highlight w:val="none"/>
        </w:rPr>
        <w:t>（一）比选报价函</w:t>
      </w:r>
    </w:p>
    <w:p w14:paraId="3C988CD3">
      <w:pPr>
        <w:snapToGrid w:val="0"/>
        <w:spacing w:line="500" w:lineRule="exact"/>
        <w:jc w:val="center"/>
        <w:rPr>
          <w:rFonts w:hint="eastAsia" w:ascii="仿宋" w:hAnsi="仿宋" w:eastAsia="仿宋" w:cs="仿宋"/>
          <w:color w:val="auto"/>
          <w:sz w:val="32"/>
          <w:szCs w:val="32"/>
          <w:highlight w:val="none"/>
        </w:rPr>
      </w:pPr>
      <w:r>
        <w:rPr>
          <w:rFonts w:hint="eastAsia" w:ascii="仿宋" w:hAnsi="仿宋" w:eastAsia="仿宋" w:cs="仿宋"/>
          <w:b/>
          <w:color w:val="auto"/>
          <w:sz w:val="32"/>
          <w:szCs w:val="32"/>
          <w:highlight w:val="none"/>
        </w:rPr>
        <w:t>比选报价函</w:t>
      </w:r>
    </w:p>
    <w:p w14:paraId="5F6F87F6">
      <w:pPr>
        <w:tabs>
          <w:tab w:val="left" w:pos="6300"/>
        </w:tabs>
        <w:snapToGrid w:val="0"/>
        <w:spacing w:line="52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u w:val="single"/>
        </w:rPr>
        <w:t>（采购代理机构名称）</w:t>
      </w:r>
      <w:r>
        <w:rPr>
          <w:rFonts w:hint="eastAsia" w:ascii="仿宋" w:hAnsi="仿宋" w:eastAsia="仿宋" w:cs="仿宋"/>
          <w:color w:val="auto"/>
          <w:sz w:val="24"/>
          <w:szCs w:val="24"/>
          <w:highlight w:val="none"/>
        </w:rPr>
        <w:t>：</w:t>
      </w:r>
    </w:p>
    <w:p w14:paraId="18593815">
      <w:pPr>
        <w:tabs>
          <w:tab w:val="left" w:pos="6300"/>
        </w:tabs>
        <w:snapToGrid w:val="0"/>
        <w:spacing w:line="52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我方收到____________________________（项目名称）的竞争性比选文件，经详细研究，决定参加该项目的比选。</w:t>
      </w:r>
    </w:p>
    <w:p w14:paraId="5E845184">
      <w:pPr>
        <w:keepNext w:val="0"/>
        <w:keepLines w:val="0"/>
        <w:pageBreakBefore w:val="0"/>
        <w:widowControl w:val="0"/>
        <w:numPr>
          <w:ilvl w:val="0"/>
          <w:numId w:val="0"/>
        </w:numPr>
        <w:tabs>
          <w:tab w:val="left" w:pos="0"/>
          <w:tab w:val="left" w:pos="6300"/>
        </w:tabs>
        <w:kinsoku/>
        <w:wordWrap/>
        <w:overflowPunct/>
        <w:topLinePunct w:val="0"/>
        <w:autoSpaceDE/>
        <w:autoSpaceDN/>
        <w:bidi w:val="0"/>
        <w:adjustRightInd/>
        <w:snapToGrid w:val="0"/>
        <w:spacing w:line="400" w:lineRule="exact"/>
        <w:ind w:leftChars="191"/>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1、愿意按照竞争性比选文件中的一切要求，提供本项目的服务，报价为</w:t>
      </w:r>
      <w:r>
        <w:rPr>
          <w:rFonts w:hint="eastAsia" w:ascii="仿宋" w:hAnsi="仿宋" w:eastAsia="仿宋" w:cs="仿宋"/>
          <w:color w:val="auto"/>
          <w:sz w:val="24"/>
          <w:szCs w:val="24"/>
          <w:highlight w:val="none"/>
          <w:lang w:val="en-US" w:eastAsia="zh-CN"/>
        </w:rPr>
        <w:t>折扣报价</w:t>
      </w:r>
      <w:r>
        <w:rPr>
          <w:rFonts w:hint="eastAsia" w:ascii="仿宋" w:hAnsi="仿宋" w:eastAsia="仿宋" w:cs="仿宋"/>
          <w:color w:val="auto"/>
          <w:sz w:val="24"/>
          <w:szCs w:val="24"/>
          <w:highlight w:val="none"/>
          <w:u w:val="none"/>
        </w:rPr>
        <w:t>大写：</w:t>
      </w:r>
      <w:r>
        <w:rPr>
          <w:rFonts w:hint="eastAsia" w:ascii="仿宋" w:hAnsi="仿宋" w:eastAsia="仿宋" w:cs="仿宋"/>
          <w:color w:val="auto"/>
          <w:sz w:val="24"/>
          <w:szCs w:val="24"/>
          <w:highlight w:val="none"/>
          <w:u w:val="single"/>
          <w:lang w:val="en-US" w:eastAsia="zh-CN"/>
        </w:rPr>
        <w:t xml:space="preserve">百分之       </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折扣报价</w:t>
      </w:r>
      <w:r>
        <w:rPr>
          <w:rFonts w:hint="eastAsia" w:ascii="仿宋" w:hAnsi="仿宋" w:eastAsia="仿宋" w:cs="仿宋"/>
          <w:color w:val="auto"/>
          <w:sz w:val="24"/>
          <w:szCs w:val="24"/>
          <w:highlight w:val="none"/>
          <w:u w:val="none"/>
        </w:rPr>
        <w:t>小写：</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u w:val="single"/>
          <w:lang w:val="en-US" w:eastAsia="zh-CN"/>
        </w:rPr>
        <w:t>%</w:t>
      </w:r>
      <w:r>
        <w:rPr>
          <w:rFonts w:hint="eastAsia" w:ascii="仿宋" w:hAnsi="仿宋" w:eastAsia="仿宋" w:cs="仿宋"/>
          <w:color w:val="auto"/>
          <w:sz w:val="24"/>
          <w:szCs w:val="24"/>
          <w:highlight w:val="none"/>
        </w:rPr>
        <w:t>。</w:t>
      </w:r>
    </w:p>
    <w:p w14:paraId="50479FA8">
      <w:pPr>
        <w:tabs>
          <w:tab w:val="left" w:pos="6300"/>
        </w:tabs>
        <w:snapToGrid w:val="0"/>
        <w:spacing w:line="520" w:lineRule="exact"/>
        <w:ind w:firstLine="480" w:firstLineChars="200"/>
        <w:rPr>
          <w:rFonts w:hint="eastAsia" w:ascii="仿宋" w:hAnsi="仿宋" w:eastAsia="仿宋" w:cs="仿宋"/>
          <w:color w:val="auto"/>
          <w:sz w:val="24"/>
          <w:szCs w:val="24"/>
          <w:highlight w:val="none"/>
          <w:u w:val="single"/>
        </w:rPr>
      </w:pPr>
      <w:r>
        <w:rPr>
          <w:rFonts w:hint="eastAsia" w:ascii="仿宋" w:hAnsi="仿宋" w:eastAsia="仿宋" w:cs="仿宋"/>
          <w:color w:val="auto"/>
          <w:sz w:val="24"/>
          <w:szCs w:val="24"/>
          <w:highlight w:val="none"/>
        </w:rPr>
        <w:t>2、我方现提交的</w:t>
      </w:r>
      <w:r>
        <w:rPr>
          <w:rFonts w:hint="eastAsia" w:ascii="仿宋" w:hAnsi="仿宋" w:eastAsia="仿宋" w:cs="仿宋"/>
          <w:color w:val="auto"/>
          <w:sz w:val="24"/>
          <w:szCs w:val="24"/>
          <w:highlight w:val="none"/>
          <w:lang w:eastAsia="zh-CN"/>
        </w:rPr>
        <w:t>响应文件</w:t>
      </w:r>
      <w:r>
        <w:rPr>
          <w:rFonts w:hint="eastAsia" w:ascii="仿宋" w:hAnsi="仿宋" w:eastAsia="仿宋" w:cs="仿宋"/>
          <w:color w:val="auto"/>
          <w:sz w:val="24"/>
          <w:szCs w:val="24"/>
          <w:highlight w:val="none"/>
        </w:rPr>
        <w:t>为：</w:t>
      </w:r>
      <w:r>
        <w:rPr>
          <w:rFonts w:hint="eastAsia" w:ascii="仿宋" w:hAnsi="仿宋" w:eastAsia="仿宋" w:cs="仿宋"/>
          <w:color w:val="auto"/>
          <w:sz w:val="24"/>
          <w:szCs w:val="24"/>
          <w:highlight w:val="none"/>
          <w:lang w:eastAsia="zh-CN"/>
        </w:rPr>
        <w:t>响应文件</w:t>
      </w:r>
      <w:r>
        <w:rPr>
          <w:rFonts w:hint="eastAsia" w:ascii="仿宋" w:hAnsi="仿宋" w:eastAsia="仿宋" w:cs="仿宋"/>
          <w:color w:val="auto"/>
          <w:sz w:val="24"/>
          <w:szCs w:val="24"/>
          <w:highlight w:val="none"/>
        </w:rPr>
        <w:t>正本</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份，副本</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份，电子文档</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份。</w:t>
      </w:r>
    </w:p>
    <w:p w14:paraId="15B58F88">
      <w:pPr>
        <w:tabs>
          <w:tab w:val="left" w:pos="6300"/>
        </w:tabs>
        <w:snapToGrid w:val="0"/>
        <w:spacing w:line="52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3、我方承诺：本次比选的有效期为90天。</w:t>
      </w:r>
    </w:p>
    <w:p w14:paraId="519DC9C6">
      <w:pPr>
        <w:tabs>
          <w:tab w:val="left" w:pos="6300"/>
        </w:tabs>
        <w:snapToGrid w:val="0"/>
        <w:spacing w:line="52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4、我方完全理解和接受贵方竞争性比选文件的一切规定和要求及评审办法。</w:t>
      </w:r>
    </w:p>
    <w:p w14:paraId="622E09D8">
      <w:pPr>
        <w:tabs>
          <w:tab w:val="left" w:pos="6300"/>
        </w:tabs>
        <w:snapToGrid w:val="0"/>
        <w:spacing w:line="52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5、在整个比选过程中，我方若有违规行为，接受按照《中华人民共和国政府采购法》和《比选文件》之规定给予惩罚。</w:t>
      </w:r>
    </w:p>
    <w:p w14:paraId="0509AFEE">
      <w:pPr>
        <w:tabs>
          <w:tab w:val="left" w:pos="6300"/>
        </w:tabs>
        <w:snapToGrid w:val="0"/>
        <w:spacing w:line="52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6、我方若成为</w:t>
      </w:r>
      <w:r>
        <w:rPr>
          <w:rFonts w:hint="eastAsia" w:ascii="仿宋" w:hAnsi="仿宋" w:eastAsia="仿宋" w:cs="仿宋"/>
          <w:color w:val="auto"/>
          <w:sz w:val="24"/>
          <w:szCs w:val="24"/>
          <w:highlight w:val="none"/>
          <w:lang w:eastAsia="zh-CN"/>
        </w:rPr>
        <w:t>成交供应商</w:t>
      </w:r>
      <w:r>
        <w:rPr>
          <w:rFonts w:hint="eastAsia" w:ascii="仿宋" w:hAnsi="仿宋" w:eastAsia="仿宋" w:cs="仿宋"/>
          <w:color w:val="auto"/>
          <w:sz w:val="24"/>
          <w:szCs w:val="24"/>
          <w:highlight w:val="none"/>
        </w:rPr>
        <w:t>，将按照最终比选结果签订合同，并且严格履行合同义务。本承诺函将成为合同不可分割的一部分，与合同具有同等的法律效力。</w:t>
      </w:r>
    </w:p>
    <w:p w14:paraId="52702F0F">
      <w:pPr>
        <w:tabs>
          <w:tab w:val="left" w:pos="6300"/>
        </w:tabs>
        <w:snapToGrid w:val="0"/>
        <w:spacing w:line="52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7、我方同意按竞争性比选文件规定，交纳竞争性比选文件要求的比选保证金。</w:t>
      </w:r>
    </w:p>
    <w:p w14:paraId="24A22818">
      <w:pPr>
        <w:tabs>
          <w:tab w:val="left" w:pos="6300"/>
        </w:tabs>
        <w:snapToGrid w:val="0"/>
        <w:spacing w:line="520" w:lineRule="exact"/>
        <w:ind w:firstLine="57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8、</w:t>
      </w:r>
      <w:r>
        <w:rPr>
          <w:rFonts w:hint="eastAsia" w:ascii="仿宋" w:hAnsi="仿宋" w:eastAsia="仿宋" w:cs="仿宋"/>
          <w:color w:val="auto"/>
          <w:sz w:val="24"/>
          <w:szCs w:val="24"/>
          <w:highlight w:val="none"/>
        </w:rPr>
        <w:t>若我方</w:t>
      </w:r>
      <w:r>
        <w:rPr>
          <w:rFonts w:hint="eastAsia" w:ascii="仿宋" w:hAnsi="仿宋" w:eastAsia="仿宋" w:cs="仿宋"/>
          <w:color w:val="auto"/>
          <w:sz w:val="24"/>
          <w:szCs w:val="24"/>
          <w:highlight w:val="none"/>
          <w:lang w:val="en-US" w:eastAsia="zh-CN"/>
        </w:rPr>
        <w:t>成交</w:t>
      </w:r>
      <w:r>
        <w:rPr>
          <w:rFonts w:hint="eastAsia" w:ascii="仿宋" w:hAnsi="仿宋" w:eastAsia="仿宋" w:cs="仿宋"/>
          <w:color w:val="auto"/>
          <w:sz w:val="24"/>
          <w:szCs w:val="24"/>
          <w:highlight w:val="none"/>
        </w:rPr>
        <w:t>，愿意按有关规定及</w:t>
      </w:r>
      <w:r>
        <w:rPr>
          <w:rFonts w:hint="eastAsia" w:ascii="仿宋" w:hAnsi="仿宋" w:eastAsia="仿宋" w:cs="仿宋"/>
          <w:color w:val="auto"/>
          <w:sz w:val="24"/>
          <w:szCs w:val="24"/>
          <w:highlight w:val="none"/>
          <w:lang w:val="en-US" w:eastAsia="zh-CN"/>
        </w:rPr>
        <w:t>比选</w:t>
      </w:r>
      <w:r>
        <w:rPr>
          <w:rFonts w:hint="eastAsia" w:ascii="仿宋" w:hAnsi="仿宋" w:eastAsia="仿宋" w:cs="仿宋"/>
          <w:color w:val="auto"/>
          <w:sz w:val="24"/>
          <w:szCs w:val="24"/>
          <w:highlight w:val="none"/>
        </w:rPr>
        <w:t>文件要求缴纳招标代理服务费</w:t>
      </w:r>
      <w:r>
        <w:rPr>
          <w:rFonts w:hint="eastAsia" w:ascii="仿宋" w:hAnsi="仿宋" w:eastAsia="仿宋" w:cs="仿宋"/>
          <w:color w:val="auto"/>
          <w:sz w:val="24"/>
          <w:szCs w:val="24"/>
          <w:highlight w:val="none"/>
          <w:lang w:eastAsia="zh-CN"/>
        </w:rPr>
        <w:t>。</w:t>
      </w:r>
    </w:p>
    <w:p w14:paraId="6086A989">
      <w:pPr>
        <w:tabs>
          <w:tab w:val="left" w:pos="6300"/>
        </w:tabs>
        <w:snapToGrid w:val="0"/>
        <w:spacing w:line="520" w:lineRule="exact"/>
        <w:ind w:firstLine="570"/>
        <w:rPr>
          <w:rFonts w:hint="eastAsia" w:ascii="仿宋" w:hAnsi="仿宋" w:eastAsia="仿宋" w:cs="仿宋"/>
          <w:color w:val="auto"/>
          <w:sz w:val="24"/>
          <w:szCs w:val="24"/>
          <w:highlight w:val="none"/>
        </w:rPr>
      </w:pPr>
    </w:p>
    <w:p w14:paraId="70D87BA5">
      <w:pPr>
        <w:tabs>
          <w:tab w:val="left" w:pos="6300"/>
        </w:tabs>
        <w:snapToGrid w:val="0"/>
        <w:spacing w:line="520" w:lineRule="exact"/>
        <w:ind w:firstLine="57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（公章）：</w:t>
      </w:r>
    </w:p>
    <w:p w14:paraId="13E52671">
      <w:pPr>
        <w:tabs>
          <w:tab w:val="left" w:pos="6300"/>
        </w:tabs>
        <w:snapToGrid w:val="0"/>
        <w:spacing w:line="520" w:lineRule="exact"/>
        <w:ind w:firstLine="57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地址：  </w:t>
      </w:r>
    </w:p>
    <w:p w14:paraId="49006B1B">
      <w:pPr>
        <w:tabs>
          <w:tab w:val="left" w:pos="6300"/>
        </w:tabs>
        <w:snapToGrid w:val="0"/>
        <w:spacing w:line="520" w:lineRule="exact"/>
        <w:ind w:firstLine="57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电话：                                             传真：</w:t>
      </w:r>
    </w:p>
    <w:p w14:paraId="638EB9EB">
      <w:pPr>
        <w:tabs>
          <w:tab w:val="left" w:pos="6300"/>
        </w:tabs>
        <w:snapToGrid w:val="0"/>
        <w:spacing w:line="520" w:lineRule="exact"/>
        <w:ind w:firstLine="57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网址：                                             邮编：</w:t>
      </w:r>
    </w:p>
    <w:p w14:paraId="5C34BE72">
      <w:pPr>
        <w:tabs>
          <w:tab w:val="left" w:pos="6300"/>
        </w:tabs>
        <w:snapToGrid w:val="0"/>
        <w:spacing w:line="520" w:lineRule="exact"/>
        <w:ind w:firstLine="57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联系人：</w:t>
      </w:r>
    </w:p>
    <w:p w14:paraId="267B0FF2">
      <w:pPr>
        <w:tabs>
          <w:tab w:val="left" w:pos="6300"/>
        </w:tabs>
        <w:snapToGrid w:val="0"/>
        <w:spacing w:line="520" w:lineRule="exact"/>
        <w:ind w:firstLine="570"/>
        <w:rPr>
          <w:rFonts w:hint="eastAsia" w:ascii="仿宋" w:hAnsi="仿宋" w:eastAsia="仿宋" w:cs="仿宋"/>
          <w:color w:val="auto"/>
          <w:sz w:val="24"/>
          <w:szCs w:val="24"/>
          <w:highlight w:val="none"/>
        </w:rPr>
      </w:pPr>
    </w:p>
    <w:p w14:paraId="6F8AEEA7">
      <w:pPr>
        <w:snapToGrid w:val="0"/>
        <w:spacing w:line="5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年   月   日</w:t>
      </w:r>
    </w:p>
    <w:p w14:paraId="7F645F92">
      <w:pP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br w:type="page"/>
      </w:r>
    </w:p>
    <w:p w14:paraId="063930C3">
      <w:pPr>
        <w:pStyle w:val="3"/>
        <w:pageBreakBefore w:val="0"/>
        <w:widowControl w:val="0"/>
        <w:numPr>
          <w:ilvl w:val="0"/>
          <w:numId w:val="0"/>
        </w:numPr>
        <w:kinsoku/>
        <w:wordWrap/>
        <w:overflowPunct/>
        <w:topLinePunct w:val="0"/>
        <w:autoSpaceDE/>
        <w:autoSpaceDN/>
        <w:bidi w:val="0"/>
        <w:spacing w:line="400" w:lineRule="exact"/>
        <w:textAlignment w:val="auto"/>
        <w:rPr>
          <w:rFonts w:hint="eastAsia" w:ascii="仿宋" w:hAnsi="仿宋" w:eastAsia="仿宋" w:cs="仿宋"/>
          <w:b/>
          <w:color w:val="auto"/>
          <w:kern w:val="2"/>
          <w:sz w:val="24"/>
          <w:szCs w:val="24"/>
          <w:lang w:val="en-US" w:eastAsia="zh-CN" w:bidi="ar-SA"/>
        </w:rPr>
      </w:pPr>
      <w:bookmarkStart w:id="155" w:name="_Toc21697"/>
      <w:bookmarkStart w:id="156" w:name="_Toc342913421"/>
      <w:bookmarkStart w:id="157" w:name="_Toc313008358"/>
      <w:bookmarkStart w:id="158" w:name="_Toc439685512"/>
      <w:bookmarkStart w:id="159" w:name="_Toc313888362"/>
      <w:bookmarkStart w:id="160" w:name="_Toc429584885"/>
      <w:r>
        <w:rPr>
          <w:rFonts w:hint="eastAsia" w:ascii="仿宋" w:hAnsi="仿宋" w:eastAsia="仿宋" w:cs="仿宋"/>
          <w:b/>
          <w:color w:val="auto"/>
          <w:kern w:val="2"/>
          <w:sz w:val="24"/>
          <w:szCs w:val="24"/>
          <w:lang w:val="en-US" w:eastAsia="zh-CN" w:bidi="ar-SA"/>
        </w:rPr>
        <w:t>二、服务部分</w:t>
      </w:r>
      <w:bookmarkEnd w:id="155"/>
    </w:p>
    <w:p w14:paraId="1CA2F9E8">
      <w:pPr>
        <w:tabs>
          <w:tab w:val="left" w:pos="6300"/>
        </w:tabs>
        <w:snapToGrid w:val="0"/>
        <w:spacing w:line="400" w:lineRule="exact"/>
        <w:ind w:firstLine="480" w:firstLineChars="20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（一）服务方案（格式自定）</w:t>
      </w:r>
    </w:p>
    <w:p w14:paraId="5AF36BB3">
      <w:pP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br w:type="page"/>
      </w:r>
    </w:p>
    <w:p w14:paraId="65CD27F9">
      <w:pPr>
        <w:tabs>
          <w:tab w:val="left" w:pos="6300"/>
        </w:tabs>
        <w:snapToGrid w:val="0"/>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（二）服务响应偏离表</w:t>
      </w:r>
    </w:p>
    <w:p w14:paraId="194EFC16">
      <w:pPr>
        <w:spacing w:line="400" w:lineRule="exact"/>
        <w:ind w:firstLine="480" w:firstLineChars="200"/>
        <w:rPr>
          <w:rFonts w:hint="eastAsia" w:ascii="仿宋" w:hAnsi="仿宋" w:eastAsia="仿宋" w:cs="仿宋"/>
          <w:color w:val="auto"/>
          <w:sz w:val="24"/>
          <w:szCs w:val="24"/>
          <w:highlight w:val="none"/>
        </w:rPr>
      </w:pPr>
    </w:p>
    <w:p w14:paraId="325F89E3">
      <w:pPr>
        <w:ind w:firstLine="720" w:firstLineChars="200"/>
        <w:jc w:val="center"/>
        <w:rPr>
          <w:rFonts w:hint="eastAsia" w:ascii="仿宋" w:hAnsi="仿宋" w:eastAsia="仿宋" w:cs="仿宋"/>
          <w:color w:val="auto"/>
          <w:sz w:val="24"/>
          <w:szCs w:val="24"/>
          <w:highlight w:val="none"/>
        </w:rPr>
      </w:pPr>
      <w:r>
        <w:rPr>
          <w:rFonts w:hint="eastAsia" w:ascii="仿宋" w:hAnsi="仿宋" w:eastAsia="仿宋" w:cs="仿宋"/>
          <w:color w:val="auto"/>
          <w:sz w:val="36"/>
          <w:szCs w:val="36"/>
          <w:highlight w:val="none"/>
        </w:rPr>
        <w:t>服务响应偏离表</w:t>
      </w:r>
    </w:p>
    <w:p w14:paraId="595815D1">
      <w:pPr>
        <w:spacing w:line="400" w:lineRule="exact"/>
        <w:ind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eastAsia="zh-CN"/>
        </w:rPr>
        <w:t>采购执行编号：</w:t>
      </w:r>
      <w:r>
        <w:rPr>
          <w:rFonts w:hint="eastAsia" w:ascii="仿宋" w:hAnsi="仿宋" w:eastAsia="仿宋" w:cs="仿宋"/>
          <w:color w:val="auto"/>
          <w:sz w:val="24"/>
          <w:szCs w:val="24"/>
          <w:highlight w:val="none"/>
        </w:rPr>
        <w:t xml:space="preserve">         </w:t>
      </w:r>
      <w:r>
        <w:rPr>
          <w:rFonts w:hint="eastAsia" w:ascii="仿宋" w:hAnsi="仿宋" w:eastAsia="仿宋" w:cs="仿宋"/>
          <w:color w:val="auto"/>
          <w:sz w:val="24"/>
          <w:szCs w:val="24"/>
          <w:highlight w:val="none"/>
          <w:lang w:val="en-US" w:eastAsia="zh-CN"/>
        </w:rPr>
        <w:t xml:space="preserve">   </w:t>
      </w:r>
    </w:p>
    <w:p w14:paraId="59541F0D">
      <w:pPr>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项目名称：                               </w:t>
      </w:r>
    </w:p>
    <w:tbl>
      <w:tblPr>
        <w:tblStyle w:val="24"/>
        <w:tblW w:w="86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4"/>
        <w:gridCol w:w="2822"/>
        <w:gridCol w:w="2759"/>
        <w:gridCol w:w="2067"/>
      </w:tblGrid>
      <w:tr w14:paraId="5404E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974" w:type="dxa"/>
            <w:vAlign w:val="center"/>
          </w:tcPr>
          <w:p w14:paraId="636F6555">
            <w:pPr>
              <w:tabs>
                <w:tab w:val="left" w:pos="6300"/>
              </w:tabs>
              <w:snapToGrid w:val="0"/>
              <w:spacing w:line="400" w:lineRule="exact"/>
              <w:jc w:val="center"/>
              <w:outlineLvl w:val="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序号</w:t>
            </w:r>
          </w:p>
        </w:tc>
        <w:tc>
          <w:tcPr>
            <w:tcW w:w="2822" w:type="dxa"/>
            <w:vAlign w:val="center"/>
          </w:tcPr>
          <w:p w14:paraId="5AE7780F">
            <w:pPr>
              <w:tabs>
                <w:tab w:val="left" w:pos="6300"/>
              </w:tabs>
              <w:snapToGrid w:val="0"/>
              <w:spacing w:line="400" w:lineRule="exact"/>
              <w:jc w:val="center"/>
              <w:outlineLvl w:val="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采购需求</w:t>
            </w:r>
          </w:p>
        </w:tc>
        <w:tc>
          <w:tcPr>
            <w:tcW w:w="2759" w:type="dxa"/>
            <w:vAlign w:val="center"/>
          </w:tcPr>
          <w:p w14:paraId="12EACD7E">
            <w:pPr>
              <w:tabs>
                <w:tab w:val="left" w:pos="6300"/>
              </w:tabs>
              <w:snapToGrid w:val="0"/>
              <w:spacing w:line="400" w:lineRule="exact"/>
              <w:jc w:val="center"/>
              <w:outlineLvl w:val="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响应情况</w:t>
            </w:r>
          </w:p>
        </w:tc>
        <w:tc>
          <w:tcPr>
            <w:tcW w:w="2067" w:type="dxa"/>
            <w:vAlign w:val="center"/>
          </w:tcPr>
          <w:p w14:paraId="3097C3AF">
            <w:pPr>
              <w:tabs>
                <w:tab w:val="left" w:pos="6300"/>
              </w:tabs>
              <w:snapToGrid w:val="0"/>
              <w:spacing w:line="400" w:lineRule="exact"/>
              <w:jc w:val="center"/>
              <w:outlineLvl w:val="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偏离说明</w:t>
            </w:r>
          </w:p>
        </w:tc>
      </w:tr>
      <w:tr w14:paraId="37BB3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974" w:type="dxa"/>
            <w:vAlign w:val="center"/>
          </w:tcPr>
          <w:p w14:paraId="069F57F0">
            <w:pPr>
              <w:tabs>
                <w:tab w:val="left" w:pos="6300"/>
              </w:tabs>
              <w:snapToGrid w:val="0"/>
              <w:spacing w:line="400" w:lineRule="exact"/>
              <w:jc w:val="center"/>
              <w:outlineLvl w:val="0"/>
              <w:rPr>
                <w:rFonts w:hint="eastAsia" w:ascii="仿宋" w:hAnsi="仿宋" w:eastAsia="仿宋" w:cs="仿宋"/>
                <w:color w:val="auto"/>
                <w:sz w:val="24"/>
                <w:szCs w:val="24"/>
                <w:highlight w:val="none"/>
              </w:rPr>
            </w:pPr>
          </w:p>
        </w:tc>
        <w:tc>
          <w:tcPr>
            <w:tcW w:w="2822" w:type="dxa"/>
            <w:vAlign w:val="center"/>
          </w:tcPr>
          <w:p w14:paraId="1D655473">
            <w:pPr>
              <w:tabs>
                <w:tab w:val="left" w:pos="6300"/>
              </w:tabs>
              <w:snapToGrid w:val="0"/>
              <w:spacing w:line="400" w:lineRule="exact"/>
              <w:jc w:val="center"/>
              <w:outlineLvl w:val="0"/>
              <w:rPr>
                <w:rFonts w:hint="eastAsia" w:ascii="仿宋" w:hAnsi="仿宋" w:eastAsia="仿宋" w:cs="仿宋"/>
                <w:color w:val="auto"/>
                <w:sz w:val="24"/>
                <w:szCs w:val="24"/>
                <w:highlight w:val="none"/>
              </w:rPr>
            </w:pPr>
          </w:p>
        </w:tc>
        <w:tc>
          <w:tcPr>
            <w:tcW w:w="2759" w:type="dxa"/>
            <w:vAlign w:val="center"/>
          </w:tcPr>
          <w:p w14:paraId="795C50F3">
            <w:pPr>
              <w:tabs>
                <w:tab w:val="left" w:pos="6300"/>
              </w:tabs>
              <w:snapToGrid w:val="0"/>
              <w:spacing w:line="400" w:lineRule="exact"/>
              <w:jc w:val="center"/>
              <w:outlineLvl w:val="0"/>
              <w:rPr>
                <w:rFonts w:hint="eastAsia" w:ascii="仿宋" w:hAnsi="仿宋" w:eastAsia="仿宋" w:cs="仿宋"/>
                <w:color w:val="auto"/>
                <w:sz w:val="24"/>
                <w:szCs w:val="24"/>
                <w:highlight w:val="none"/>
              </w:rPr>
            </w:pPr>
          </w:p>
        </w:tc>
        <w:tc>
          <w:tcPr>
            <w:tcW w:w="2067" w:type="dxa"/>
            <w:vAlign w:val="center"/>
          </w:tcPr>
          <w:p w14:paraId="3E936F9F">
            <w:pPr>
              <w:tabs>
                <w:tab w:val="left" w:pos="6300"/>
              </w:tabs>
              <w:snapToGrid w:val="0"/>
              <w:spacing w:line="400" w:lineRule="exact"/>
              <w:jc w:val="center"/>
              <w:outlineLvl w:val="0"/>
              <w:rPr>
                <w:rFonts w:hint="eastAsia" w:ascii="仿宋" w:hAnsi="仿宋" w:eastAsia="仿宋" w:cs="仿宋"/>
                <w:color w:val="auto"/>
                <w:sz w:val="24"/>
                <w:szCs w:val="24"/>
                <w:highlight w:val="none"/>
              </w:rPr>
            </w:pPr>
          </w:p>
        </w:tc>
      </w:tr>
      <w:tr w14:paraId="37A8B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974" w:type="dxa"/>
            <w:vAlign w:val="center"/>
          </w:tcPr>
          <w:p w14:paraId="0697DC52">
            <w:pPr>
              <w:tabs>
                <w:tab w:val="left" w:pos="6300"/>
              </w:tabs>
              <w:snapToGrid w:val="0"/>
              <w:spacing w:line="400" w:lineRule="exact"/>
              <w:jc w:val="center"/>
              <w:outlineLvl w:val="0"/>
              <w:rPr>
                <w:rFonts w:hint="eastAsia" w:ascii="仿宋" w:hAnsi="仿宋" w:eastAsia="仿宋" w:cs="仿宋"/>
                <w:color w:val="auto"/>
                <w:sz w:val="24"/>
                <w:szCs w:val="24"/>
                <w:highlight w:val="none"/>
              </w:rPr>
            </w:pPr>
          </w:p>
        </w:tc>
        <w:tc>
          <w:tcPr>
            <w:tcW w:w="2822" w:type="dxa"/>
            <w:vAlign w:val="center"/>
          </w:tcPr>
          <w:p w14:paraId="17935B91">
            <w:pPr>
              <w:tabs>
                <w:tab w:val="left" w:pos="6300"/>
              </w:tabs>
              <w:snapToGrid w:val="0"/>
              <w:spacing w:line="400" w:lineRule="exact"/>
              <w:jc w:val="center"/>
              <w:outlineLvl w:val="0"/>
              <w:rPr>
                <w:rFonts w:hint="eastAsia" w:ascii="仿宋" w:hAnsi="仿宋" w:eastAsia="仿宋" w:cs="仿宋"/>
                <w:color w:val="auto"/>
                <w:sz w:val="24"/>
                <w:szCs w:val="24"/>
                <w:highlight w:val="none"/>
              </w:rPr>
            </w:pPr>
          </w:p>
        </w:tc>
        <w:tc>
          <w:tcPr>
            <w:tcW w:w="2759" w:type="dxa"/>
            <w:vAlign w:val="center"/>
          </w:tcPr>
          <w:p w14:paraId="1772E308">
            <w:pPr>
              <w:tabs>
                <w:tab w:val="left" w:pos="6300"/>
              </w:tabs>
              <w:snapToGrid w:val="0"/>
              <w:spacing w:line="400" w:lineRule="exact"/>
              <w:jc w:val="center"/>
              <w:outlineLvl w:val="0"/>
              <w:rPr>
                <w:rFonts w:hint="eastAsia" w:ascii="仿宋" w:hAnsi="仿宋" w:eastAsia="仿宋" w:cs="仿宋"/>
                <w:color w:val="auto"/>
                <w:sz w:val="24"/>
                <w:szCs w:val="24"/>
                <w:highlight w:val="none"/>
              </w:rPr>
            </w:pPr>
          </w:p>
        </w:tc>
        <w:tc>
          <w:tcPr>
            <w:tcW w:w="2067" w:type="dxa"/>
            <w:vAlign w:val="center"/>
          </w:tcPr>
          <w:p w14:paraId="7F9C6142">
            <w:pPr>
              <w:tabs>
                <w:tab w:val="left" w:pos="6300"/>
              </w:tabs>
              <w:snapToGrid w:val="0"/>
              <w:spacing w:line="400" w:lineRule="exact"/>
              <w:jc w:val="center"/>
              <w:outlineLvl w:val="0"/>
              <w:rPr>
                <w:rFonts w:hint="eastAsia" w:ascii="仿宋" w:hAnsi="仿宋" w:eastAsia="仿宋" w:cs="仿宋"/>
                <w:color w:val="auto"/>
                <w:sz w:val="24"/>
                <w:szCs w:val="24"/>
                <w:highlight w:val="none"/>
              </w:rPr>
            </w:pPr>
          </w:p>
        </w:tc>
      </w:tr>
      <w:tr w14:paraId="44519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974" w:type="dxa"/>
            <w:vAlign w:val="center"/>
          </w:tcPr>
          <w:p w14:paraId="4A6BA323">
            <w:pPr>
              <w:tabs>
                <w:tab w:val="left" w:pos="6300"/>
              </w:tabs>
              <w:snapToGrid w:val="0"/>
              <w:spacing w:line="400" w:lineRule="exact"/>
              <w:jc w:val="center"/>
              <w:outlineLvl w:val="0"/>
              <w:rPr>
                <w:rFonts w:hint="eastAsia" w:ascii="仿宋" w:hAnsi="仿宋" w:eastAsia="仿宋" w:cs="仿宋"/>
                <w:color w:val="auto"/>
                <w:sz w:val="24"/>
                <w:szCs w:val="24"/>
                <w:highlight w:val="none"/>
              </w:rPr>
            </w:pPr>
          </w:p>
        </w:tc>
        <w:tc>
          <w:tcPr>
            <w:tcW w:w="2822" w:type="dxa"/>
            <w:vAlign w:val="center"/>
          </w:tcPr>
          <w:p w14:paraId="031BF5AB">
            <w:pPr>
              <w:tabs>
                <w:tab w:val="left" w:pos="6300"/>
              </w:tabs>
              <w:snapToGrid w:val="0"/>
              <w:spacing w:line="400" w:lineRule="exact"/>
              <w:jc w:val="center"/>
              <w:outlineLvl w:val="0"/>
              <w:rPr>
                <w:rFonts w:hint="eastAsia" w:ascii="仿宋" w:hAnsi="仿宋" w:eastAsia="仿宋" w:cs="仿宋"/>
                <w:color w:val="auto"/>
                <w:sz w:val="24"/>
                <w:szCs w:val="24"/>
                <w:highlight w:val="none"/>
              </w:rPr>
            </w:pPr>
          </w:p>
        </w:tc>
        <w:tc>
          <w:tcPr>
            <w:tcW w:w="2759" w:type="dxa"/>
            <w:vAlign w:val="center"/>
          </w:tcPr>
          <w:p w14:paraId="7B88FDF3">
            <w:pPr>
              <w:tabs>
                <w:tab w:val="left" w:pos="6300"/>
              </w:tabs>
              <w:snapToGrid w:val="0"/>
              <w:spacing w:line="400" w:lineRule="exact"/>
              <w:jc w:val="center"/>
              <w:outlineLvl w:val="0"/>
              <w:rPr>
                <w:rFonts w:hint="eastAsia" w:ascii="仿宋" w:hAnsi="仿宋" w:eastAsia="仿宋" w:cs="仿宋"/>
                <w:color w:val="auto"/>
                <w:sz w:val="24"/>
                <w:szCs w:val="24"/>
                <w:highlight w:val="none"/>
              </w:rPr>
            </w:pPr>
          </w:p>
        </w:tc>
        <w:tc>
          <w:tcPr>
            <w:tcW w:w="2067" w:type="dxa"/>
            <w:vAlign w:val="center"/>
          </w:tcPr>
          <w:p w14:paraId="4DB69B7F">
            <w:pPr>
              <w:tabs>
                <w:tab w:val="left" w:pos="6300"/>
              </w:tabs>
              <w:snapToGrid w:val="0"/>
              <w:spacing w:line="400" w:lineRule="exact"/>
              <w:jc w:val="center"/>
              <w:outlineLvl w:val="0"/>
              <w:rPr>
                <w:rFonts w:hint="eastAsia" w:ascii="仿宋" w:hAnsi="仿宋" w:eastAsia="仿宋" w:cs="仿宋"/>
                <w:color w:val="auto"/>
                <w:sz w:val="24"/>
                <w:szCs w:val="24"/>
                <w:highlight w:val="none"/>
              </w:rPr>
            </w:pPr>
          </w:p>
        </w:tc>
      </w:tr>
      <w:tr w14:paraId="1F50A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974" w:type="dxa"/>
            <w:vAlign w:val="center"/>
          </w:tcPr>
          <w:p w14:paraId="7368CB1E">
            <w:pPr>
              <w:tabs>
                <w:tab w:val="left" w:pos="6300"/>
              </w:tabs>
              <w:snapToGrid w:val="0"/>
              <w:spacing w:line="400" w:lineRule="exact"/>
              <w:jc w:val="center"/>
              <w:outlineLvl w:val="0"/>
              <w:rPr>
                <w:rFonts w:hint="eastAsia" w:ascii="仿宋" w:hAnsi="仿宋" w:eastAsia="仿宋" w:cs="仿宋"/>
                <w:color w:val="auto"/>
                <w:sz w:val="24"/>
                <w:szCs w:val="24"/>
                <w:highlight w:val="none"/>
              </w:rPr>
            </w:pPr>
          </w:p>
        </w:tc>
        <w:tc>
          <w:tcPr>
            <w:tcW w:w="2822" w:type="dxa"/>
            <w:vAlign w:val="center"/>
          </w:tcPr>
          <w:p w14:paraId="780557E4">
            <w:pPr>
              <w:tabs>
                <w:tab w:val="left" w:pos="6300"/>
              </w:tabs>
              <w:snapToGrid w:val="0"/>
              <w:spacing w:line="400" w:lineRule="exact"/>
              <w:jc w:val="center"/>
              <w:outlineLvl w:val="0"/>
              <w:rPr>
                <w:rFonts w:hint="eastAsia" w:ascii="仿宋" w:hAnsi="仿宋" w:eastAsia="仿宋" w:cs="仿宋"/>
                <w:color w:val="auto"/>
                <w:sz w:val="24"/>
                <w:szCs w:val="24"/>
                <w:highlight w:val="none"/>
              </w:rPr>
            </w:pPr>
          </w:p>
        </w:tc>
        <w:tc>
          <w:tcPr>
            <w:tcW w:w="2759" w:type="dxa"/>
            <w:vAlign w:val="center"/>
          </w:tcPr>
          <w:p w14:paraId="138DE66A">
            <w:pPr>
              <w:tabs>
                <w:tab w:val="left" w:pos="6300"/>
              </w:tabs>
              <w:snapToGrid w:val="0"/>
              <w:spacing w:line="400" w:lineRule="exact"/>
              <w:jc w:val="center"/>
              <w:outlineLvl w:val="0"/>
              <w:rPr>
                <w:rFonts w:hint="eastAsia" w:ascii="仿宋" w:hAnsi="仿宋" w:eastAsia="仿宋" w:cs="仿宋"/>
                <w:color w:val="auto"/>
                <w:sz w:val="24"/>
                <w:szCs w:val="24"/>
                <w:highlight w:val="none"/>
              </w:rPr>
            </w:pPr>
          </w:p>
        </w:tc>
        <w:tc>
          <w:tcPr>
            <w:tcW w:w="2067" w:type="dxa"/>
            <w:vAlign w:val="center"/>
          </w:tcPr>
          <w:p w14:paraId="44E05CE6">
            <w:pPr>
              <w:tabs>
                <w:tab w:val="left" w:pos="6300"/>
              </w:tabs>
              <w:snapToGrid w:val="0"/>
              <w:spacing w:line="400" w:lineRule="exact"/>
              <w:jc w:val="center"/>
              <w:outlineLvl w:val="0"/>
              <w:rPr>
                <w:rFonts w:hint="eastAsia" w:ascii="仿宋" w:hAnsi="仿宋" w:eastAsia="仿宋" w:cs="仿宋"/>
                <w:color w:val="auto"/>
                <w:sz w:val="24"/>
                <w:szCs w:val="24"/>
                <w:highlight w:val="none"/>
              </w:rPr>
            </w:pPr>
          </w:p>
        </w:tc>
      </w:tr>
      <w:tr w14:paraId="51E95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974" w:type="dxa"/>
            <w:vAlign w:val="center"/>
          </w:tcPr>
          <w:p w14:paraId="709A771C">
            <w:pPr>
              <w:tabs>
                <w:tab w:val="left" w:pos="6300"/>
              </w:tabs>
              <w:snapToGrid w:val="0"/>
              <w:spacing w:line="400" w:lineRule="exact"/>
              <w:jc w:val="center"/>
              <w:outlineLvl w:val="0"/>
              <w:rPr>
                <w:rFonts w:hint="eastAsia" w:ascii="仿宋" w:hAnsi="仿宋" w:eastAsia="仿宋" w:cs="仿宋"/>
                <w:color w:val="auto"/>
                <w:sz w:val="24"/>
                <w:szCs w:val="24"/>
                <w:highlight w:val="none"/>
              </w:rPr>
            </w:pPr>
          </w:p>
        </w:tc>
        <w:tc>
          <w:tcPr>
            <w:tcW w:w="2822" w:type="dxa"/>
            <w:vAlign w:val="center"/>
          </w:tcPr>
          <w:p w14:paraId="53E502B2">
            <w:pPr>
              <w:tabs>
                <w:tab w:val="left" w:pos="6300"/>
              </w:tabs>
              <w:snapToGrid w:val="0"/>
              <w:spacing w:line="400" w:lineRule="exact"/>
              <w:jc w:val="center"/>
              <w:outlineLvl w:val="0"/>
              <w:rPr>
                <w:rFonts w:hint="eastAsia" w:ascii="仿宋" w:hAnsi="仿宋" w:eastAsia="仿宋" w:cs="仿宋"/>
                <w:color w:val="auto"/>
                <w:sz w:val="24"/>
                <w:szCs w:val="24"/>
                <w:highlight w:val="none"/>
              </w:rPr>
            </w:pPr>
          </w:p>
        </w:tc>
        <w:tc>
          <w:tcPr>
            <w:tcW w:w="2759" w:type="dxa"/>
            <w:vAlign w:val="center"/>
          </w:tcPr>
          <w:p w14:paraId="60733AFE">
            <w:pPr>
              <w:tabs>
                <w:tab w:val="left" w:pos="6300"/>
              </w:tabs>
              <w:snapToGrid w:val="0"/>
              <w:spacing w:line="400" w:lineRule="exact"/>
              <w:jc w:val="center"/>
              <w:outlineLvl w:val="0"/>
              <w:rPr>
                <w:rFonts w:hint="eastAsia" w:ascii="仿宋" w:hAnsi="仿宋" w:eastAsia="仿宋" w:cs="仿宋"/>
                <w:color w:val="auto"/>
                <w:sz w:val="24"/>
                <w:szCs w:val="24"/>
                <w:highlight w:val="none"/>
              </w:rPr>
            </w:pPr>
          </w:p>
        </w:tc>
        <w:tc>
          <w:tcPr>
            <w:tcW w:w="2067" w:type="dxa"/>
            <w:vAlign w:val="center"/>
          </w:tcPr>
          <w:p w14:paraId="0AD13C5F">
            <w:pPr>
              <w:tabs>
                <w:tab w:val="left" w:pos="6300"/>
              </w:tabs>
              <w:snapToGrid w:val="0"/>
              <w:spacing w:line="400" w:lineRule="exact"/>
              <w:jc w:val="center"/>
              <w:outlineLvl w:val="0"/>
              <w:rPr>
                <w:rFonts w:hint="eastAsia" w:ascii="仿宋" w:hAnsi="仿宋" w:eastAsia="仿宋" w:cs="仿宋"/>
                <w:color w:val="auto"/>
                <w:sz w:val="24"/>
                <w:szCs w:val="24"/>
                <w:highlight w:val="none"/>
              </w:rPr>
            </w:pPr>
          </w:p>
        </w:tc>
      </w:tr>
      <w:tr w14:paraId="6D8E3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974" w:type="dxa"/>
            <w:vAlign w:val="center"/>
          </w:tcPr>
          <w:p w14:paraId="21B6CC2C">
            <w:pPr>
              <w:tabs>
                <w:tab w:val="left" w:pos="6300"/>
              </w:tabs>
              <w:snapToGrid w:val="0"/>
              <w:spacing w:line="400" w:lineRule="exact"/>
              <w:jc w:val="center"/>
              <w:outlineLvl w:val="0"/>
              <w:rPr>
                <w:rFonts w:hint="eastAsia" w:ascii="仿宋" w:hAnsi="仿宋" w:eastAsia="仿宋" w:cs="仿宋"/>
                <w:color w:val="auto"/>
                <w:sz w:val="24"/>
                <w:szCs w:val="24"/>
                <w:highlight w:val="none"/>
              </w:rPr>
            </w:pPr>
          </w:p>
        </w:tc>
        <w:tc>
          <w:tcPr>
            <w:tcW w:w="2822" w:type="dxa"/>
            <w:vAlign w:val="center"/>
          </w:tcPr>
          <w:p w14:paraId="1A3C816E">
            <w:pPr>
              <w:tabs>
                <w:tab w:val="left" w:pos="6300"/>
              </w:tabs>
              <w:snapToGrid w:val="0"/>
              <w:spacing w:line="400" w:lineRule="exact"/>
              <w:jc w:val="center"/>
              <w:outlineLvl w:val="0"/>
              <w:rPr>
                <w:rFonts w:hint="eastAsia" w:ascii="仿宋" w:hAnsi="仿宋" w:eastAsia="仿宋" w:cs="仿宋"/>
                <w:color w:val="auto"/>
                <w:sz w:val="24"/>
                <w:szCs w:val="24"/>
                <w:highlight w:val="none"/>
              </w:rPr>
            </w:pPr>
          </w:p>
        </w:tc>
        <w:tc>
          <w:tcPr>
            <w:tcW w:w="2759" w:type="dxa"/>
            <w:vAlign w:val="center"/>
          </w:tcPr>
          <w:p w14:paraId="446D68A3">
            <w:pPr>
              <w:tabs>
                <w:tab w:val="left" w:pos="6300"/>
              </w:tabs>
              <w:snapToGrid w:val="0"/>
              <w:spacing w:line="400" w:lineRule="exact"/>
              <w:jc w:val="center"/>
              <w:outlineLvl w:val="0"/>
              <w:rPr>
                <w:rFonts w:hint="eastAsia" w:ascii="仿宋" w:hAnsi="仿宋" w:eastAsia="仿宋" w:cs="仿宋"/>
                <w:color w:val="auto"/>
                <w:sz w:val="24"/>
                <w:szCs w:val="24"/>
                <w:highlight w:val="none"/>
              </w:rPr>
            </w:pPr>
          </w:p>
        </w:tc>
        <w:tc>
          <w:tcPr>
            <w:tcW w:w="2067" w:type="dxa"/>
            <w:vAlign w:val="center"/>
          </w:tcPr>
          <w:p w14:paraId="7FF5D3CE">
            <w:pPr>
              <w:tabs>
                <w:tab w:val="left" w:pos="6300"/>
              </w:tabs>
              <w:snapToGrid w:val="0"/>
              <w:spacing w:line="400" w:lineRule="exact"/>
              <w:jc w:val="center"/>
              <w:outlineLvl w:val="0"/>
              <w:rPr>
                <w:rFonts w:hint="eastAsia" w:ascii="仿宋" w:hAnsi="仿宋" w:eastAsia="仿宋" w:cs="仿宋"/>
                <w:color w:val="auto"/>
                <w:sz w:val="24"/>
                <w:szCs w:val="24"/>
                <w:highlight w:val="none"/>
              </w:rPr>
            </w:pPr>
          </w:p>
        </w:tc>
      </w:tr>
      <w:tr w14:paraId="34047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974" w:type="dxa"/>
            <w:vAlign w:val="center"/>
          </w:tcPr>
          <w:p w14:paraId="722CCEB3">
            <w:pPr>
              <w:tabs>
                <w:tab w:val="left" w:pos="6300"/>
              </w:tabs>
              <w:snapToGrid w:val="0"/>
              <w:spacing w:line="400" w:lineRule="exact"/>
              <w:jc w:val="center"/>
              <w:outlineLvl w:val="0"/>
              <w:rPr>
                <w:rFonts w:hint="eastAsia" w:ascii="仿宋" w:hAnsi="仿宋" w:eastAsia="仿宋" w:cs="仿宋"/>
                <w:color w:val="auto"/>
                <w:sz w:val="24"/>
                <w:szCs w:val="24"/>
                <w:highlight w:val="none"/>
              </w:rPr>
            </w:pPr>
          </w:p>
        </w:tc>
        <w:tc>
          <w:tcPr>
            <w:tcW w:w="2822" w:type="dxa"/>
            <w:vAlign w:val="center"/>
          </w:tcPr>
          <w:p w14:paraId="3DB1FEF6">
            <w:pPr>
              <w:tabs>
                <w:tab w:val="left" w:pos="6300"/>
              </w:tabs>
              <w:snapToGrid w:val="0"/>
              <w:spacing w:line="400" w:lineRule="exact"/>
              <w:jc w:val="center"/>
              <w:outlineLvl w:val="0"/>
              <w:rPr>
                <w:rFonts w:hint="eastAsia" w:ascii="仿宋" w:hAnsi="仿宋" w:eastAsia="仿宋" w:cs="仿宋"/>
                <w:color w:val="auto"/>
                <w:sz w:val="24"/>
                <w:szCs w:val="24"/>
                <w:highlight w:val="none"/>
              </w:rPr>
            </w:pPr>
          </w:p>
        </w:tc>
        <w:tc>
          <w:tcPr>
            <w:tcW w:w="2759" w:type="dxa"/>
            <w:vAlign w:val="center"/>
          </w:tcPr>
          <w:p w14:paraId="476F4014">
            <w:pPr>
              <w:tabs>
                <w:tab w:val="left" w:pos="6300"/>
              </w:tabs>
              <w:snapToGrid w:val="0"/>
              <w:spacing w:line="400" w:lineRule="exact"/>
              <w:jc w:val="center"/>
              <w:outlineLvl w:val="0"/>
              <w:rPr>
                <w:rFonts w:hint="eastAsia" w:ascii="仿宋" w:hAnsi="仿宋" w:eastAsia="仿宋" w:cs="仿宋"/>
                <w:color w:val="auto"/>
                <w:sz w:val="24"/>
                <w:szCs w:val="24"/>
                <w:highlight w:val="none"/>
              </w:rPr>
            </w:pPr>
          </w:p>
        </w:tc>
        <w:tc>
          <w:tcPr>
            <w:tcW w:w="2067" w:type="dxa"/>
            <w:vAlign w:val="center"/>
          </w:tcPr>
          <w:p w14:paraId="1F898968">
            <w:pPr>
              <w:tabs>
                <w:tab w:val="left" w:pos="6300"/>
              </w:tabs>
              <w:snapToGrid w:val="0"/>
              <w:spacing w:line="400" w:lineRule="exact"/>
              <w:jc w:val="center"/>
              <w:outlineLvl w:val="0"/>
              <w:rPr>
                <w:rFonts w:hint="eastAsia" w:ascii="仿宋" w:hAnsi="仿宋" w:eastAsia="仿宋" w:cs="仿宋"/>
                <w:color w:val="auto"/>
                <w:sz w:val="24"/>
                <w:szCs w:val="24"/>
                <w:highlight w:val="none"/>
              </w:rPr>
            </w:pPr>
          </w:p>
        </w:tc>
      </w:tr>
      <w:tr w14:paraId="2A6DC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974" w:type="dxa"/>
            <w:vAlign w:val="center"/>
          </w:tcPr>
          <w:p w14:paraId="3F469AE0">
            <w:pPr>
              <w:tabs>
                <w:tab w:val="left" w:pos="6300"/>
              </w:tabs>
              <w:snapToGrid w:val="0"/>
              <w:spacing w:line="400" w:lineRule="exact"/>
              <w:jc w:val="center"/>
              <w:outlineLvl w:val="0"/>
              <w:rPr>
                <w:rFonts w:hint="eastAsia" w:ascii="仿宋" w:hAnsi="仿宋" w:eastAsia="仿宋" w:cs="仿宋"/>
                <w:color w:val="auto"/>
                <w:sz w:val="24"/>
                <w:szCs w:val="24"/>
                <w:highlight w:val="none"/>
              </w:rPr>
            </w:pPr>
          </w:p>
        </w:tc>
        <w:tc>
          <w:tcPr>
            <w:tcW w:w="2822" w:type="dxa"/>
            <w:vAlign w:val="center"/>
          </w:tcPr>
          <w:p w14:paraId="0D05AF30">
            <w:pPr>
              <w:tabs>
                <w:tab w:val="left" w:pos="6300"/>
              </w:tabs>
              <w:snapToGrid w:val="0"/>
              <w:spacing w:line="400" w:lineRule="exact"/>
              <w:jc w:val="center"/>
              <w:outlineLvl w:val="0"/>
              <w:rPr>
                <w:rFonts w:hint="eastAsia" w:ascii="仿宋" w:hAnsi="仿宋" w:eastAsia="仿宋" w:cs="仿宋"/>
                <w:color w:val="auto"/>
                <w:sz w:val="24"/>
                <w:szCs w:val="24"/>
                <w:highlight w:val="none"/>
              </w:rPr>
            </w:pPr>
          </w:p>
        </w:tc>
        <w:tc>
          <w:tcPr>
            <w:tcW w:w="2759" w:type="dxa"/>
            <w:vAlign w:val="center"/>
          </w:tcPr>
          <w:p w14:paraId="115AC013">
            <w:pPr>
              <w:tabs>
                <w:tab w:val="left" w:pos="6300"/>
              </w:tabs>
              <w:snapToGrid w:val="0"/>
              <w:spacing w:line="400" w:lineRule="exact"/>
              <w:jc w:val="center"/>
              <w:outlineLvl w:val="0"/>
              <w:rPr>
                <w:rFonts w:hint="eastAsia" w:ascii="仿宋" w:hAnsi="仿宋" w:eastAsia="仿宋" w:cs="仿宋"/>
                <w:color w:val="auto"/>
                <w:sz w:val="24"/>
                <w:szCs w:val="24"/>
                <w:highlight w:val="none"/>
              </w:rPr>
            </w:pPr>
          </w:p>
        </w:tc>
        <w:tc>
          <w:tcPr>
            <w:tcW w:w="2067" w:type="dxa"/>
            <w:vAlign w:val="center"/>
          </w:tcPr>
          <w:p w14:paraId="4CA564E8">
            <w:pPr>
              <w:tabs>
                <w:tab w:val="left" w:pos="6300"/>
              </w:tabs>
              <w:snapToGrid w:val="0"/>
              <w:spacing w:line="400" w:lineRule="exact"/>
              <w:jc w:val="center"/>
              <w:outlineLvl w:val="0"/>
              <w:rPr>
                <w:rFonts w:hint="eastAsia" w:ascii="仿宋" w:hAnsi="仿宋" w:eastAsia="仿宋" w:cs="仿宋"/>
                <w:color w:val="auto"/>
                <w:sz w:val="24"/>
                <w:szCs w:val="24"/>
                <w:highlight w:val="none"/>
              </w:rPr>
            </w:pPr>
          </w:p>
        </w:tc>
      </w:tr>
    </w:tbl>
    <w:p w14:paraId="5E003B96">
      <w:pPr>
        <w:spacing w:line="400" w:lineRule="exact"/>
        <w:ind w:firstLine="600" w:firstLineChars="25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                                       法人授权代表：</w:t>
      </w:r>
    </w:p>
    <w:p w14:paraId="24863E51">
      <w:pPr>
        <w:spacing w:line="400" w:lineRule="exact"/>
        <w:rPr>
          <w:rFonts w:hint="eastAsia" w:ascii="仿宋" w:hAnsi="仿宋" w:eastAsia="仿宋" w:cs="仿宋"/>
          <w:color w:val="auto"/>
          <w:sz w:val="24"/>
          <w:szCs w:val="24"/>
          <w:highlight w:val="none"/>
        </w:rPr>
      </w:pPr>
    </w:p>
    <w:p w14:paraId="3199B7DA">
      <w:pPr>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公章）                                      （签字或盖章）</w:t>
      </w:r>
    </w:p>
    <w:p w14:paraId="56C5172A">
      <w:pPr>
        <w:tabs>
          <w:tab w:val="left" w:pos="6300"/>
        </w:tabs>
        <w:snapToGrid w:val="0"/>
        <w:spacing w:line="400" w:lineRule="exact"/>
        <w:ind w:firstLine="7848" w:firstLineChars="327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年  月  日</w:t>
      </w:r>
    </w:p>
    <w:p w14:paraId="54608CC5">
      <w:pPr>
        <w:tabs>
          <w:tab w:val="left" w:pos="6300"/>
        </w:tabs>
        <w:snapToGrid w:val="0"/>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注：</w:t>
      </w:r>
    </w:p>
    <w:p w14:paraId="55904FDB">
      <w:pPr>
        <w:tabs>
          <w:tab w:val="left" w:pos="6300"/>
        </w:tabs>
        <w:snapToGrid w:val="0"/>
        <w:spacing w:line="400" w:lineRule="exact"/>
        <w:ind w:firstLine="480" w:firstLineChars="200"/>
        <w:rPr>
          <w:rFonts w:hint="default" w:ascii="仿宋" w:hAnsi="仿宋" w:eastAsia="仿宋" w:cs="仿宋"/>
          <w:color w:val="auto"/>
          <w:sz w:val="24"/>
          <w:highlight w:val="none"/>
          <w:lang w:val="en-US" w:eastAsia="zh-CN"/>
        </w:rPr>
      </w:pPr>
      <w:r>
        <w:rPr>
          <w:rFonts w:hint="eastAsia" w:ascii="仿宋" w:hAnsi="仿宋" w:eastAsia="仿宋" w:cs="仿宋"/>
          <w:color w:val="auto"/>
          <w:sz w:val="24"/>
          <w:szCs w:val="24"/>
          <w:highlight w:val="none"/>
        </w:rPr>
        <w:t>1</w:t>
      </w:r>
      <w:r>
        <w:rPr>
          <w:rFonts w:hint="eastAsia" w:ascii="仿宋" w:hAnsi="仿宋" w:eastAsia="仿宋" w:cs="仿宋"/>
          <w:color w:val="auto"/>
          <w:sz w:val="24"/>
          <w:highlight w:val="none"/>
        </w:rPr>
        <w:t xml:space="preserve">.本表即为对本项目“第二篇 </w:t>
      </w:r>
      <w:r>
        <w:rPr>
          <w:rFonts w:hint="eastAsia" w:ascii="仿宋" w:hAnsi="仿宋" w:eastAsia="仿宋" w:cs="仿宋"/>
          <w:color w:val="auto"/>
          <w:sz w:val="24"/>
          <w:highlight w:val="none"/>
          <w:lang w:val="en-US" w:eastAsia="zh-CN"/>
        </w:rPr>
        <w:t>项目服务需求</w:t>
      </w:r>
      <w:r>
        <w:rPr>
          <w:rFonts w:hint="eastAsia" w:ascii="仿宋" w:hAnsi="仿宋" w:eastAsia="仿宋" w:cs="仿宋"/>
          <w:color w:val="auto"/>
          <w:sz w:val="24"/>
          <w:highlight w:val="none"/>
        </w:rPr>
        <w:t>”中所列条款进行</w:t>
      </w:r>
      <w:r>
        <w:rPr>
          <w:rFonts w:hint="eastAsia" w:ascii="仿宋" w:hAnsi="仿宋" w:eastAsia="仿宋" w:cs="仿宋"/>
          <w:color w:val="auto"/>
          <w:sz w:val="24"/>
          <w:highlight w:val="none"/>
          <w:lang w:val="en-US" w:eastAsia="zh-CN"/>
        </w:rPr>
        <w:t>逐条</w:t>
      </w:r>
      <w:r>
        <w:rPr>
          <w:rFonts w:hint="eastAsia" w:ascii="仿宋" w:hAnsi="仿宋" w:eastAsia="仿宋" w:cs="仿宋"/>
          <w:color w:val="auto"/>
          <w:sz w:val="24"/>
          <w:highlight w:val="none"/>
        </w:rPr>
        <w:t>比较和响应；</w:t>
      </w:r>
    </w:p>
    <w:p w14:paraId="7DF89EC6">
      <w:pPr>
        <w:tabs>
          <w:tab w:val="left" w:pos="6300"/>
        </w:tabs>
        <w:snapToGrid w:val="0"/>
        <w:spacing w:line="40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2.该表可拓展。</w:t>
      </w:r>
    </w:p>
    <w:p w14:paraId="7682EE35">
      <w:pPr>
        <w:spacing w:line="400" w:lineRule="exact"/>
        <w:ind w:firstLine="600" w:firstLineChars="250"/>
        <w:rPr>
          <w:rFonts w:hint="eastAsia" w:ascii="仿宋" w:hAnsi="仿宋" w:eastAsia="仿宋" w:cs="仿宋"/>
          <w:color w:val="auto"/>
          <w:sz w:val="24"/>
          <w:szCs w:val="24"/>
          <w:highlight w:val="none"/>
        </w:rPr>
      </w:pPr>
    </w:p>
    <w:p w14:paraId="643EE0A6">
      <w:pP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br w:type="page"/>
      </w:r>
    </w:p>
    <w:p w14:paraId="032ACBEA">
      <w:pPr>
        <w:pStyle w:val="3"/>
        <w:pageBreakBefore w:val="0"/>
        <w:widowControl w:val="0"/>
        <w:numPr>
          <w:ilvl w:val="0"/>
          <w:numId w:val="0"/>
        </w:numPr>
        <w:kinsoku/>
        <w:wordWrap/>
        <w:overflowPunct/>
        <w:topLinePunct w:val="0"/>
        <w:autoSpaceDE/>
        <w:autoSpaceDN/>
        <w:bidi w:val="0"/>
        <w:spacing w:line="400" w:lineRule="exact"/>
        <w:textAlignment w:val="auto"/>
        <w:rPr>
          <w:rFonts w:hint="eastAsia" w:ascii="仿宋" w:hAnsi="仿宋" w:eastAsia="仿宋" w:cs="仿宋"/>
          <w:b/>
          <w:color w:val="auto"/>
          <w:kern w:val="2"/>
          <w:sz w:val="24"/>
          <w:szCs w:val="24"/>
          <w:lang w:val="en-US" w:eastAsia="zh-CN" w:bidi="ar-SA"/>
        </w:rPr>
      </w:pPr>
      <w:bookmarkStart w:id="161" w:name="_Toc28922"/>
      <w:r>
        <w:rPr>
          <w:rFonts w:hint="eastAsia" w:ascii="仿宋" w:hAnsi="仿宋" w:eastAsia="仿宋" w:cs="仿宋"/>
          <w:b/>
          <w:color w:val="auto"/>
          <w:kern w:val="2"/>
          <w:sz w:val="24"/>
          <w:szCs w:val="24"/>
          <w:lang w:val="en-US" w:eastAsia="zh-CN" w:bidi="ar-SA"/>
        </w:rPr>
        <w:t>三、商务部分</w:t>
      </w:r>
      <w:bookmarkEnd w:id="156"/>
      <w:bookmarkEnd w:id="157"/>
      <w:bookmarkEnd w:id="158"/>
      <w:bookmarkEnd w:id="159"/>
      <w:bookmarkEnd w:id="161"/>
    </w:p>
    <w:p w14:paraId="49372528">
      <w:pPr>
        <w:spacing w:line="400" w:lineRule="exact"/>
        <w:ind w:firstLine="600" w:firstLineChars="25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一</w:t>
      </w:r>
      <w:r>
        <w:rPr>
          <w:rFonts w:hint="eastAsia" w:ascii="仿宋" w:hAnsi="仿宋" w:eastAsia="仿宋" w:cs="仿宋"/>
          <w:color w:val="auto"/>
          <w:sz w:val="24"/>
          <w:szCs w:val="24"/>
          <w:highlight w:val="none"/>
        </w:rPr>
        <w:t>）商务响应偏离表</w:t>
      </w:r>
    </w:p>
    <w:p w14:paraId="02627035">
      <w:pPr>
        <w:snapToGrid w:val="0"/>
        <w:jc w:val="center"/>
        <w:rPr>
          <w:rFonts w:hint="eastAsia" w:ascii="仿宋" w:hAnsi="仿宋" w:eastAsia="仿宋" w:cs="仿宋"/>
          <w:b/>
          <w:color w:val="auto"/>
          <w:sz w:val="36"/>
          <w:szCs w:val="36"/>
          <w:highlight w:val="none"/>
        </w:rPr>
      </w:pPr>
    </w:p>
    <w:p w14:paraId="40318373">
      <w:pPr>
        <w:snapToGrid w:val="0"/>
        <w:jc w:val="center"/>
        <w:rPr>
          <w:rFonts w:hint="eastAsia" w:ascii="仿宋" w:hAnsi="仿宋" w:eastAsia="仿宋" w:cs="仿宋"/>
          <w:b/>
          <w:color w:val="auto"/>
          <w:sz w:val="36"/>
          <w:szCs w:val="36"/>
          <w:highlight w:val="none"/>
        </w:rPr>
      </w:pPr>
      <w:r>
        <w:rPr>
          <w:rFonts w:hint="eastAsia" w:ascii="仿宋" w:hAnsi="仿宋" w:eastAsia="仿宋" w:cs="仿宋"/>
          <w:b/>
          <w:color w:val="auto"/>
          <w:sz w:val="36"/>
          <w:szCs w:val="36"/>
          <w:highlight w:val="none"/>
        </w:rPr>
        <w:t>商务响应偏离表</w:t>
      </w:r>
    </w:p>
    <w:p w14:paraId="71C937EB">
      <w:pPr>
        <w:spacing w:line="400" w:lineRule="exact"/>
        <w:ind w:firstLine="480" w:firstLineChars="200"/>
        <w:rPr>
          <w:rFonts w:hint="eastAsia" w:ascii="仿宋" w:hAnsi="仿宋" w:eastAsia="仿宋" w:cs="仿宋"/>
          <w:color w:val="auto"/>
          <w:sz w:val="24"/>
          <w:szCs w:val="24"/>
          <w:highlight w:val="none"/>
        </w:rPr>
      </w:pPr>
    </w:p>
    <w:p w14:paraId="3CA636A7">
      <w:pPr>
        <w:spacing w:line="400" w:lineRule="exact"/>
        <w:ind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eastAsia="zh-CN"/>
        </w:rPr>
        <w:t>采购执行编号：</w:t>
      </w:r>
      <w:r>
        <w:rPr>
          <w:rFonts w:hint="eastAsia" w:ascii="仿宋" w:hAnsi="仿宋" w:eastAsia="仿宋" w:cs="仿宋"/>
          <w:color w:val="auto"/>
          <w:sz w:val="24"/>
          <w:szCs w:val="24"/>
          <w:highlight w:val="none"/>
        </w:rPr>
        <w:t xml:space="preserve">    </w:t>
      </w:r>
      <w:r>
        <w:rPr>
          <w:rFonts w:hint="eastAsia" w:ascii="仿宋" w:hAnsi="仿宋" w:eastAsia="仿宋" w:cs="仿宋"/>
          <w:color w:val="auto"/>
          <w:sz w:val="24"/>
          <w:szCs w:val="24"/>
          <w:highlight w:val="none"/>
          <w:lang w:val="en-US" w:eastAsia="zh-CN"/>
        </w:rPr>
        <w:t xml:space="preserve">                </w:t>
      </w:r>
    </w:p>
    <w:p w14:paraId="3BC2DFDD">
      <w:pPr>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项目名称：    </w:t>
      </w:r>
    </w:p>
    <w:tbl>
      <w:tblPr>
        <w:tblStyle w:val="24"/>
        <w:tblW w:w="8932" w:type="dxa"/>
        <w:tblInd w:w="65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1"/>
        <w:gridCol w:w="3312"/>
        <w:gridCol w:w="2434"/>
        <w:gridCol w:w="2355"/>
      </w:tblGrid>
      <w:tr w14:paraId="0D88E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trPr>
        <w:tc>
          <w:tcPr>
            <w:tcW w:w="831" w:type="dxa"/>
            <w:vAlign w:val="center"/>
          </w:tcPr>
          <w:p w14:paraId="4D937E21">
            <w:pPr>
              <w:tabs>
                <w:tab w:val="left" w:pos="6300"/>
              </w:tabs>
              <w:snapToGrid w:val="0"/>
              <w:spacing w:line="400" w:lineRule="exact"/>
              <w:jc w:val="center"/>
              <w:outlineLvl w:val="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序号</w:t>
            </w:r>
          </w:p>
        </w:tc>
        <w:tc>
          <w:tcPr>
            <w:tcW w:w="3312" w:type="dxa"/>
            <w:vAlign w:val="center"/>
          </w:tcPr>
          <w:p w14:paraId="7C11175D">
            <w:pPr>
              <w:tabs>
                <w:tab w:val="left" w:pos="6300"/>
              </w:tabs>
              <w:snapToGrid w:val="0"/>
              <w:spacing w:line="400" w:lineRule="exact"/>
              <w:jc w:val="center"/>
              <w:outlineLvl w:val="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采购</w:t>
            </w:r>
            <w:r>
              <w:rPr>
                <w:rFonts w:hint="eastAsia" w:ascii="仿宋" w:hAnsi="仿宋" w:eastAsia="仿宋" w:cs="仿宋"/>
                <w:color w:val="auto"/>
                <w:sz w:val="24"/>
                <w:szCs w:val="24"/>
                <w:highlight w:val="none"/>
              </w:rPr>
              <w:t>需求</w:t>
            </w:r>
          </w:p>
        </w:tc>
        <w:tc>
          <w:tcPr>
            <w:tcW w:w="2434" w:type="dxa"/>
            <w:vAlign w:val="center"/>
          </w:tcPr>
          <w:p w14:paraId="684D856E">
            <w:pPr>
              <w:tabs>
                <w:tab w:val="left" w:pos="6300"/>
              </w:tabs>
              <w:snapToGrid w:val="0"/>
              <w:spacing w:line="400" w:lineRule="exact"/>
              <w:jc w:val="center"/>
              <w:outlineLvl w:val="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响应情况</w:t>
            </w:r>
          </w:p>
        </w:tc>
        <w:tc>
          <w:tcPr>
            <w:tcW w:w="2355" w:type="dxa"/>
            <w:vAlign w:val="center"/>
          </w:tcPr>
          <w:p w14:paraId="25B108A7">
            <w:pPr>
              <w:tabs>
                <w:tab w:val="left" w:pos="6300"/>
              </w:tabs>
              <w:snapToGrid w:val="0"/>
              <w:spacing w:line="400" w:lineRule="exact"/>
              <w:jc w:val="center"/>
              <w:outlineLvl w:val="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偏离说明</w:t>
            </w:r>
          </w:p>
        </w:tc>
      </w:tr>
      <w:tr w14:paraId="35F6D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831" w:type="dxa"/>
            <w:vAlign w:val="center"/>
          </w:tcPr>
          <w:p w14:paraId="31EE0730">
            <w:pPr>
              <w:tabs>
                <w:tab w:val="left" w:pos="6300"/>
              </w:tabs>
              <w:snapToGrid w:val="0"/>
              <w:spacing w:line="400" w:lineRule="exact"/>
              <w:jc w:val="center"/>
              <w:outlineLvl w:val="0"/>
              <w:rPr>
                <w:rFonts w:hint="eastAsia" w:ascii="仿宋" w:hAnsi="仿宋" w:eastAsia="仿宋" w:cs="仿宋"/>
                <w:color w:val="auto"/>
                <w:sz w:val="24"/>
                <w:szCs w:val="24"/>
                <w:highlight w:val="none"/>
              </w:rPr>
            </w:pPr>
          </w:p>
        </w:tc>
        <w:tc>
          <w:tcPr>
            <w:tcW w:w="3312" w:type="dxa"/>
            <w:vAlign w:val="center"/>
          </w:tcPr>
          <w:p w14:paraId="31E3FAA5">
            <w:pPr>
              <w:tabs>
                <w:tab w:val="left" w:pos="6300"/>
              </w:tabs>
              <w:snapToGrid w:val="0"/>
              <w:spacing w:line="400" w:lineRule="exact"/>
              <w:jc w:val="center"/>
              <w:outlineLvl w:val="0"/>
              <w:rPr>
                <w:rFonts w:hint="eastAsia" w:ascii="仿宋" w:hAnsi="仿宋" w:eastAsia="仿宋" w:cs="仿宋"/>
                <w:color w:val="auto"/>
                <w:sz w:val="24"/>
                <w:szCs w:val="24"/>
                <w:highlight w:val="none"/>
              </w:rPr>
            </w:pPr>
          </w:p>
        </w:tc>
        <w:tc>
          <w:tcPr>
            <w:tcW w:w="2434" w:type="dxa"/>
            <w:vAlign w:val="center"/>
          </w:tcPr>
          <w:p w14:paraId="5F139F28">
            <w:pPr>
              <w:tabs>
                <w:tab w:val="left" w:pos="6300"/>
              </w:tabs>
              <w:snapToGrid w:val="0"/>
              <w:spacing w:line="400" w:lineRule="exact"/>
              <w:jc w:val="center"/>
              <w:outlineLvl w:val="0"/>
              <w:rPr>
                <w:rFonts w:hint="eastAsia" w:ascii="仿宋" w:hAnsi="仿宋" w:eastAsia="仿宋" w:cs="仿宋"/>
                <w:color w:val="auto"/>
                <w:sz w:val="24"/>
                <w:szCs w:val="24"/>
                <w:highlight w:val="none"/>
              </w:rPr>
            </w:pPr>
          </w:p>
        </w:tc>
        <w:tc>
          <w:tcPr>
            <w:tcW w:w="2355" w:type="dxa"/>
            <w:vAlign w:val="center"/>
          </w:tcPr>
          <w:p w14:paraId="76A327B2">
            <w:pPr>
              <w:tabs>
                <w:tab w:val="left" w:pos="6300"/>
              </w:tabs>
              <w:snapToGrid w:val="0"/>
              <w:spacing w:line="400" w:lineRule="exact"/>
              <w:jc w:val="center"/>
              <w:outlineLvl w:val="0"/>
              <w:rPr>
                <w:rFonts w:hint="eastAsia" w:ascii="仿宋" w:hAnsi="仿宋" w:eastAsia="仿宋" w:cs="仿宋"/>
                <w:color w:val="auto"/>
                <w:sz w:val="24"/>
                <w:szCs w:val="24"/>
                <w:highlight w:val="none"/>
              </w:rPr>
            </w:pPr>
          </w:p>
        </w:tc>
      </w:tr>
      <w:tr w14:paraId="54663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831" w:type="dxa"/>
            <w:vAlign w:val="center"/>
          </w:tcPr>
          <w:p w14:paraId="022F7C15">
            <w:pPr>
              <w:tabs>
                <w:tab w:val="left" w:pos="6300"/>
              </w:tabs>
              <w:snapToGrid w:val="0"/>
              <w:spacing w:line="400" w:lineRule="exact"/>
              <w:jc w:val="center"/>
              <w:outlineLvl w:val="0"/>
              <w:rPr>
                <w:rFonts w:hint="eastAsia" w:ascii="仿宋" w:hAnsi="仿宋" w:eastAsia="仿宋" w:cs="仿宋"/>
                <w:color w:val="auto"/>
                <w:sz w:val="24"/>
                <w:szCs w:val="24"/>
                <w:highlight w:val="none"/>
              </w:rPr>
            </w:pPr>
          </w:p>
        </w:tc>
        <w:tc>
          <w:tcPr>
            <w:tcW w:w="3312" w:type="dxa"/>
            <w:vAlign w:val="center"/>
          </w:tcPr>
          <w:p w14:paraId="2DB061A1">
            <w:pPr>
              <w:tabs>
                <w:tab w:val="left" w:pos="6300"/>
              </w:tabs>
              <w:snapToGrid w:val="0"/>
              <w:spacing w:line="400" w:lineRule="exact"/>
              <w:jc w:val="center"/>
              <w:outlineLvl w:val="0"/>
              <w:rPr>
                <w:rFonts w:hint="eastAsia" w:ascii="仿宋" w:hAnsi="仿宋" w:eastAsia="仿宋" w:cs="仿宋"/>
                <w:color w:val="auto"/>
                <w:sz w:val="24"/>
                <w:szCs w:val="24"/>
                <w:highlight w:val="none"/>
              </w:rPr>
            </w:pPr>
          </w:p>
        </w:tc>
        <w:tc>
          <w:tcPr>
            <w:tcW w:w="2434" w:type="dxa"/>
            <w:vAlign w:val="center"/>
          </w:tcPr>
          <w:p w14:paraId="0F847E27">
            <w:pPr>
              <w:tabs>
                <w:tab w:val="left" w:pos="6300"/>
              </w:tabs>
              <w:snapToGrid w:val="0"/>
              <w:spacing w:line="400" w:lineRule="exact"/>
              <w:jc w:val="center"/>
              <w:outlineLvl w:val="0"/>
              <w:rPr>
                <w:rFonts w:hint="eastAsia" w:ascii="仿宋" w:hAnsi="仿宋" w:eastAsia="仿宋" w:cs="仿宋"/>
                <w:color w:val="auto"/>
                <w:sz w:val="24"/>
                <w:szCs w:val="24"/>
                <w:highlight w:val="none"/>
              </w:rPr>
            </w:pPr>
          </w:p>
        </w:tc>
        <w:tc>
          <w:tcPr>
            <w:tcW w:w="2355" w:type="dxa"/>
            <w:vAlign w:val="center"/>
          </w:tcPr>
          <w:p w14:paraId="5AD8BD28">
            <w:pPr>
              <w:tabs>
                <w:tab w:val="left" w:pos="6300"/>
              </w:tabs>
              <w:snapToGrid w:val="0"/>
              <w:spacing w:line="400" w:lineRule="exact"/>
              <w:jc w:val="center"/>
              <w:outlineLvl w:val="0"/>
              <w:rPr>
                <w:rFonts w:hint="eastAsia" w:ascii="仿宋" w:hAnsi="仿宋" w:eastAsia="仿宋" w:cs="仿宋"/>
                <w:color w:val="auto"/>
                <w:sz w:val="24"/>
                <w:szCs w:val="24"/>
                <w:highlight w:val="none"/>
              </w:rPr>
            </w:pPr>
          </w:p>
        </w:tc>
      </w:tr>
      <w:tr w14:paraId="29400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831" w:type="dxa"/>
            <w:vAlign w:val="center"/>
          </w:tcPr>
          <w:p w14:paraId="621EA9D7">
            <w:pPr>
              <w:tabs>
                <w:tab w:val="left" w:pos="6300"/>
              </w:tabs>
              <w:snapToGrid w:val="0"/>
              <w:spacing w:line="400" w:lineRule="exact"/>
              <w:jc w:val="center"/>
              <w:outlineLvl w:val="0"/>
              <w:rPr>
                <w:rFonts w:hint="eastAsia" w:ascii="仿宋" w:hAnsi="仿宋" w:eastAsia="仿宋" w:cs="仿宋"/>
                <w:color w:val="auto"/>
                <w:sz w:val="24"/>
                <w:szCs w:val="24"/>
                <w:highlight w:val="none"/>
              </w:rPr>
            </w:pPr>
          </w:p>
        </w:tc>
        <w:tc>
          <w:tcPr>
            <w:tcW w:w="3312" w:type="dxa"/>
            <w:vAlign w:val="center"/>
          </w:tcPr>
          <w:p w14:paraId="11562FBC">
            <w:pPr>
              <w:tabs>
                <w:tab w:val="left" w:pos="6300"/>
              </w:tabs>
              <w:snapToGrid w:val="0"/>
              <w:spacing w:line="400" w:lineRule="exact"/>
              <w:jc w:val="center"/>
              <w:outlineLvl w:val="0"/>
              <w:rPr>
                <w:rFonts w:hint="eastAsia" w:ascii="仿宋" w:hAnsi="仿宋" w:eastAsia="仿宋" w:cs="仿宋"/>
                <w:color w:val="auto"/>
                <w:sz w:val="24"/>
                <w:szCs w:val="24"/>
                <w:highlight w:val="none"/>
              </w:rPr>
            </w:pPr>
          </w:p>
        </w:tc>
        <w:tc>
          <w:tcPr>
            <w:tcW w:w="2434" w:type="dxa"/>
            <w:vAlign w:val="center"/>
          </w:tcPr>
          <w:p w14:paraId="20EB627C">
            <w:pPr>
              <w:tabs>
                <w:tab w:val="left" w:pos="6300"/>
              </w:tabs>
              <w:snapToGrid w:val="0"/>
              <w:spacing w:line="400" w:lineRule="exact"/>
              <w:jc w:val="center"/>
              <w:outlineLvl w:val="0"/>
              <w:rPr>
                <w:rFonts w:hint="eastAsia" w:ascii="仿宋" w:hAnsi="仿宋" w:eastAsia="仿宋" w:cs="仿宋"/>
                <w:color w:val="auto"/>
                <w:sz w:val="24"/>
                <w:szCs w:val="24"/>
                <w:highlight w:val="none"/>
              </w:rPr>
            </w:pPr>
          </w:p>
        </w:tc>
        <w:tc>
          <w:tcPr>
            <w:tcW w:w="2355" w:type="dxa"/>
            <w:vAlign w:val="center"/>
          </w:tcPr>
          <w:p w14:paraId="13AFA693">
            <w:pPr>
              <w:tabs>
                <w:tab w:val="left" w:pos="6300"/>
              </w:tabs>
              <w:snapToGrid w:val="0"/>
              <w:spacing w:line="400" w:lineRule="exact"/>
              <w:jc w:val="center"/>
              <w:outlineLvl w:val="0"/>
              <w:rPr>
                <w:rFonts w:hint="eastAsia" w:ascii="仿宋" w:hAnsi="仿宋" w:eastAsia="仿宋" w:cs="仿宋"/>
                <w:color w:val="auto"/>
                <w:sz w:val="24"/>
                <w:szCs w:val="24"/>
                <w:highlight w:val="none"/>
              </w:rPr>
            </w:pPr>
          </w:p>
        </w:tc>
      </w:tr>
      <w:tr w14:paraId="0D316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831" w:type="dxa"/>
            <w:vAlign w:val="center"/>
          </w:tcPr>
          <w:p w14:paraId="7406002B">
            <w:pPr>
              <w:tabs>
                <w:tab w:val="left" w:pos="6300"/>
              </w:tabs>
              <w:snapToGrid w:val="0"/>
              <w:spacing w:line="400" w:lineRule="exact"/>
              <w:jc w:val="center"/>
              <w:outlineLvl w:val="0"/>
              <w:rPr>
                <w:rFonts w:hint="eastAsia" w:ascii="仿宋" w:hAnsi="仿宋" w:eastAsia="仿宋" w:cs="仿宋"/>
                <w:color w:val="auto"/>
                <w:sz w:val="24"/>
                <w:szCs w:val="24"/>
                <w:highlight w:val="none"/>
              </w:rPr>
            </w:pPr>
          </w:p>
        </w:tc>
        <w:tc>
          <w:tcPr>
            <w:tcW w:w="3312" w:type="dxa"/>
            <w:vAlign w:val="center"/>
          </w:tcPr>
          <w:p w14:paraId="3D330411">
            <w:pPr>
              <w:tabs>
                <w:tab w:val="left" w:pos="6300"/>
              </w:tabs>
              <w:snapToGrid w:val="0"/>
              <w:spacing w:line="400" w:lineRule="exact"/>
              <w:jc w:val="center"/>
              <w:outlineLvl w:val="0"/>
              <w:rPr>
                <w:rFonts w:hint="eastAsia" w:ascii="仿宋" w:hAnsi="仿宋" w:eastAsia="仿宋" w:cs="仿宋"/>
                <w:color w:val="auto"/>
                <w:sz w:val="24"/>
                <w:szCs w:val="24"/>
                <w:highlight w:val="none"/>
              </w:rPr>
            </w:pPr>
          </w:p>
        </w:tc>
        <w:tc>
          <w:tcPr>
            <w:tcW w:w="2434" w:type="dxa"/>
            <w:vAlign w:val="center"/>
          </w:tcPr>
          <w:p w14:paraId="52694635">
            <w:pPr>
              <w:tabs>
                <w:tab w:val="left" w:pos="6300"/>
              </w:tabs>
              <w:snapToGrid w:val="0"/>
              <w:spacing w:line="400" w:lineRule="exact"/>
              <w:jc w:val="center"/>
              <w:outlineLvl w:val="0"/>
              <w:rPr>
                <w:rFonts w:hint="eastAsia" w:ascii="仿宋" w:hAnsi="仿宋" w:eastAsia="仿宋" w:cs="仿宋"/>
                <w:color w:val="auto"/>
                <w:sz w:val="24"/>
                <w:szCs w:val="24"/>
                <w:highlight w:val="none"/>
              </w:rPr>
            </w:pPr>
          </w:p>
        </w:tc>
        <w:tc>
          <w:tcPr>
            <w:tcW w:w="2355" w:type="dxa"/>
            <w:vAlign w:val="center"/>
          </w:tcPr>
          <w:p w14:paraId="6759AD82">
            <w:pPr>
              <w:tabs>
                <w:tab w:val="left" w:pos="6300"/>
              </w:tabs>
              <w:snapToGrid w:val="0"/>
              <w:spacing w:line="400" w:lineRule="exact"/>
              <w:jc w:val="center"/>
              <w:outlineLvl w:val="0"/>
              <w:rPr>
                <w:rFonts w:hint="eastAsia" w:ascii="仿宋" w:hAnsi="仿宋" w:eastAsia="仿宋" w:cs="仿宋"/>
                <w:color w:val="auto"/>
                <w:sz w:val="24"/>
                <w:szCs w:val="24"/>
                <w:highlight w:val="none"/>
              </w:rPr>
            </w:pPr>
          </w:p>
        </w:tc>
      </w:tr>
      <w:tr w14:paraId="398A4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831" w:type="dxa"/>
            <w:vAlign w:val="center"/>
          </w:tcPr>
          <w:p w14:paraId="534DCB40">
            <w:pPr>
              <w:tabs>
                <w:tab w:val="left" w:pos="6300"/>
              </w:tabs>
              <w:snapToGrid w:val="0"/>
              <w:spacing w:line="400" w:lineRule="exact"/>
              <w:jc w:val="center"/>
              <w:outlineLvl w:val="0"/>
              <w:rPr>
                <w:rFonts w:hint="eastAsia" w:ascii="仿宋" w:hAnsi="仿宋" w:eastAsia="仿宋" w:cs="仿宋"/>
                <w:color w:val="auto"/>
                <w:sz w:val="24"/>
                <w:szCs w:val="24"/>
                <w:highlight w:val="none"/>
              </w:rPr>
            </w:pPr>
          </w:p>
        </w:tc>
        <w:tc>
          <w:tcPr>
            <w:tcW w:w="3312" w:type="dxa"/>
            <w:vAlign w:val="center"/>
          </w:tcPr>
          <w:p w14:paraId="53FFB100">
            <w:pPr>
              <w:tabs>
                <w:tab w:val="left" w:pos="6300"/>
              </w:tabs>
              <w:snapToGrid w:val="0"/>
              <w:spacing w:line="400" w:lineRule="exact"/>
              <w:jc w:val="center"/>
              <w:outlineLvl w:val="0"/>
              <w:rPr>
                <w:rFonts w:hint="eastAsia" w:ascii="仿宋" w:hAnsi="仿宋" w:eastAsia="仿宋" w:cs="仿宋"/>
                <w:color w:val="auto"/>
                <w:sz w:val="24"/>
                <w:szCs w:val="24"/>
                <w:highlight w:val="none"/>
              </w:rPr>
            </w:pPr>
          </w:p>
        </w:tc>
        <w:tc>
          <w:tcPr>
            <w:tcW w:w="2434" w:type="dxa"/>
            <w:vAlign w:val="center"/>
          </w:tcPr>
          <w:p w14:paraId="15015CE7">
            <w:pPr>
              <w:tabs>
                <w:tab w:val="left" w:pos="6300"/>
              </w:tabs>
              <w:snapToGrid w:val="0"/>
              <w:spacing w:line="400" w:lineRule="exact"/>
              <w:jc w:val="center"/>
              <w:outlineLvl w:val="0"/>
              <w:rPr>
                <w:rFonts w:hint="eastAsia" w:ascii="仿宋" w:hAnsi="仿宋" w:eastAsia="仿宋" w:cs="仿宋"/>
                <w:color w:val="auto"/>
                <w:sz w:val="24"/>
                <w:szCs w:val="24"/>
                <w:highlight w:val="none"/>
              </w:rPr>
            </w:pPr>
          </w:p>
        </w:tc>
        <w:tc>
          <w:tcPr>
            <w:tcW w:w="2355" w:type="dxa"/>
            <w:vAlign w:val="center"/>
          </w:tcPr>
          <w:p w14:paraId="3FE57156">
            <w:pPr>
              <w:tabs>
                <w:tab w:val="left" w:pos="6300"/>
              </w:tabs>
              <w:snapToGrid w:val="0"/>
              <w:spacing w:line="400" w:lineRule="exact"/>
              <w:jc w:val="center"/>
              <w:outlineLvl w:val="0"/>
              <w:rPr>
                <w:rFonts w:hint="eastAsia" w:ascii="仿宋" w:hAnsi="仿宋" w:eastAsia="仿宋" w:cs="仿宋"/>
                <w:color w:val="auto"/>
                <w:sz w:val="24"/>
                <w:szCs w:val="24"/>
                <w:highlight w:val="none"/>
              </w:rPr>
            </w:pPr>
          </w:p>
        </w:tc>
      </w:tr>
      <w:tr w14:paraId="13039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831" w:type="dxa"/>
            <w:vAlign w:val="center"/>
          </w:tcPr>
          <w:p w14:paraId="4B0066AB">
            <w:pPr>
              <w:tabs>
                <w:tab w:val="left" w:pos="6300"/>
              </w:tabs>
              <w:snapToGrid w:val="0"/>
              <w:spacing w:line="400" w:lineRule="exact"/>
              <w:jc w:val="center"/>
              <w:outlineLvl w:val="0"/>
              <w:rPr>
                <w:rFonts w:hint="eastAsia" w:ascii="仿宋" w:hAnsi="仿宋" w:eastAsia="仿宋" w:cs="仿宋"/>
                <w:color w:val="auto"/>
                <w:sz w:val="24"/>
                <w:szCs w:val="24"/>
                <w:highlight w:val="none"/>
              </w:rPr>
            </w:pPr>
          </w:p>
        </w:tc>
        <w:tc>
          <w:tcPr>
            <w:tcW w:w="3312" w:type="dxa"/>
            <w:vAlign w:val="center"/>
          </w:tcPr>
          <w:p w14:paraId="4EB11AFD">
            <w:pPr>
              <w:tabs>
                <w:tab w:val="left" w:pos="6300"/>
              </w:tabs>
              <w:snapToGrid w:val="0"/>
              <w:spacing w:line="400" w:lineRule="exact"/>
              <w:jc w:val="center"/>
              <w:outlineLvl w:val="0"/>
              <w:rPr>
                <w:rFonts w:hint="eastAsia" w:ascii="仿宋" w:hAnsi="仿宋" w:eastAsia="仿宋" w:cs="仿宋"/>
                <w:color w:val="auto"/>
                <w:sz w:val="24"/>
                <w:szCs w:val="24"/>
                <w:highlight w:val="none"/>
              </w:rPr>
            </w:pPr>
          </w:p>
        </w:tc>
        <w:tc>
          <w:tcPr>
            <w:tcW w:w="2434" w:type="dxa"/>
            <w:vAlign w:val="center"/>
          </w:tcPr>
          <w:p w14:paraId="18439609">
            <w:pPr>
              <w:tabs>
                <w:tab w:val="left" w:pos="6300"/>
              </w:tabs>
              <w:snapToGrid w:val="0"/>
              <w:spacing w:line="400" w:lineRule="exact"/>
              <w:jc w:val="center"/>
              <w:outlineLvl w:val="0"/>
              <w:rPr>
                <w:rFonts w:hint="eastAsia" w:ascii="仿宋" w:hAnsi="仿宋" w:eastAsia="仿宋" w:cs="仿宋"/>
                <w:color w:val="auto"/>
                <w:sz w:val="24"/>
                <w:szCs w:val="24"/>
                <w:highlight w:val="none"/>
              </w:rPr>
            </w:pPr>
          </w:p>
        </w:tc>
        <w:tc>
          <w:tcPr>
            <w:tcW w:w="2355" w:type="dxa"/>
            <w:vAlign w:val="center"/>
          </w:tcPr>
          <w:p w14:paraId="621B1BE0">
            <w:pPr>
              <w:tabs>
                <w:tab w:val="left" w:pos="6300"/>
              </w:tabs>
              <w:snapToGrid w:val="0"/>
              <w:spacing w:line="400" w:lineRule="exact"/>
              <w:jc w:val="center"/>
              <w:outlineLvl w:val="0"/>
              <w:rPr>
                <w:rFonts w:hint="eastAsia" w:ascii="仿宋" w:hAnsi="仿宋" w:eastAsia="仿宋" w:cs="仿宋"/>
                <w:color w:val="auto"/>
                <w:sz w:val="24"/>
                <w:szCs w:val="24"/>
                <w:highlight w:val="none"/>
              </w:rPr>
            </w:pPr>
          </w:p>
        </w:tc>
      </w:tr>
    </w:tbl>
    <w:p w14:paraId="66BBAE04">
      <w:pPr>
        <w:snapToGrid w:val="0"/>
        <w:spacing w:line="400" w:lineRule="exact"/>
        <w:ind w:firstLine="465"/>
        <w:rPr>
          <w:rFonts w:hint="eastAsia" w:ascii="仿宋" w:hAnsi="仿宋" w:eastAsia="仿宋" w:cs="仿宋"/>
          <w:color w:val="auto"/>
          <w:sz w:val="24"/>
          <w:szCs w:val="24"/>
          <w:highlight w:val="none"/>
        </w:rPr>
      </w:pPr>
    </w:p>
    <w:p w14:paraId="466EA924">
      <w:pPr>
        <w:spacing w:line="400" w:lineRule="exact"/>
        <w:ind w:firstLine="600" w:firstLineChars="25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                                             法人授权代表：</w:t>
      </w:r>
    </w:p>
    <w:p w14:paraId="429C613D">
      <w:pPr>
        <w:spacing w:line="400" w:lineRule="exact"/>
        <w:rPr>
          <w:rFonts w:hint="eastAsia" w:ascii="仿宋" w:hAnsi="仿宋" w:eastAsia="仿宋" w:cs="仿宋"/>
          <w:color w:val="auto"/>
          <w:sz w:val="24"/>
          <w:szCs w:val="24"/>
          <w:highlight w:val="none"/>
        </w:rPr>
      </w:pPr>
    </w:p>
    <w:p w14:paraId="46077223">
      <w:pPr>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公章）                                      （签字或盖章）</w:t>
      </w:r>
    </w:p>
    <w:p w14:paraId="21AD5CA5">
      <w:pPr>
        <w:tabs>
          <w:tab w:val="left" w:pos="6300"/>
        </w:tabs>
        <w:snapToGrid w:val="0"/>
        <w:spacing w:line="400" w:lineRule="exact"/>
        <w:ind w:firstLine="7848" w:firstLineChars="327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年  月  日</w:t>
      </w:r>
    </w:p>
    <w:p w14:paraId="406942E2">
      <w:pPr>
        <w:tabs>
          <w:tab w:val="left" w:pos="6300"/>
        </w:tabs>
        <w:snapToGrid w:val="0"/>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注：</w:t>
      </w:r>
    </w:p>
    <w:p w14:paraId="422D0480">
      <w:pPr>
        <w:tabs>
          <w:tab w:val="left" w:pos="6300"/>
        </w:tabs>
        <w:snapToGrid w:val="0"/>
        <w:spacing w:line="40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szCs w:val="24"/>
          <w:highlight w:val="none"/>
        </w:rPr>
        <w:t>1</w:t>
      </w:r>
      <w:r>
        <w:rPr>
          <w:rFonts w:hint="eastAsia" w:ascii="仿宋" w:hAnsi="仿宋" w:eastAsia="仿宋" w:cs="仿宋"/>
          <w:color w:val="auto"/>
          <w:sz w:val="24"/>
          <w:highlight w:val="none"/>
        </w:rPr>
        <w:t>.本表即为对本项目“第</w:t>
      </w:r>
      <w:r>
        <w:rPr>
          <w:rFonts w:hint="eastAsia" w:ascii="仿宋" w:hAnsi="仿宋" w:eastAsia="仿宋" w:cs="仿宋"/>
          <w:color w:val="auto"/>
          <w:sz w:val="24"/>
          <w:highlight w:val="none"/>
          <w:lang w:val="en-US" w:eastAsia="zh-CN"/>
        </w:rPr>
        <w:t>三</w:t>
      </w:r>
      <w:r>
        <w:rPr>
          <w:rFonts w:hint="eastAsia" w:ascii="仿宋" w:hAnsi="仿宋" w:eastAsia="仿宋" w:cs="仿宋"/>
          <w:color w:val="auto"/>
          <w:sz w:val="24"/>
          <w:highlight w:val="none"/>
        </w:rPr>
        <w:t xml:space="preserve">篇 </w:t>
      </w:r>
      <w:r>
        <w:rPr>
          <w:rFonts w:hint="eastAsia" w:ascii="仿宋" w:hAnsi="仿宋" w:eastAsia="仿宋" w:cs="仿宋"/>
          <w:color w:val="auto"/>
          <w:sz w:val="24"/>
          <w:highlight w:val="none"/>
          <w:lang w:val="en-US" w:eastAsia="zh-CN"/>
        </w:rPr>
        <w:t>项目商务需求</w:t>
      </w:r>
      <w:r>
        <w:rPr>
          <w:rFonts w:hint="eastAsia" w:ascii="仿宋" w:hAnsi="仿宋" w:eastAsia="仿宋" w:cs="仿宋"/>
          <w:color w:val="auto"/>
          <w:sz w:val="24"/>
          <w:highlight w:val="none"/>
        </w:rPr>
        <w:t>”中所列条款</w:t>
      </w:r>
      <w:r>
        <w:rPr>
          <w:rFonts w:hint="eastAsia" w:ascii="仿宋" w:hAnsi="仿宋" w:eastAsia="仿宋" w:cs="仿宋"/>
          <w:color w:val="auto"/>
          <w:sz w:val="24"/>
          <w:highlight w:val="none"/>
          <w:lang w:val="en-US" w:eastAsia="zh-CN"/>
        </w:rPr>
        <w:t>逐条</w:t>
      </w:r>
      <w:r>
        <w:rPr>
          <w:rFonts w:hint="eastAsia" w:ascii="仿宋" w:hAnsi="仿宋" w:eastAsia="仿宋" w:cs="仿宋"/>
          <w:color w:val="auto"/>
          <w:sz w:val="24"/>
          <w:highlight w:val="none"/>
        </w:rPr>
        <w:t>进行比较和响应；</w:t>
      </w:r>
    </w:p>
    <w:p w14:paraId="404A52C1">
      <w:pPr>
        <w:tabs>
          <w:tab w:val="left" w:pos="6300"/>
        </w:tabs>
        <w:snapToGrid w:val="0"/>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highlight w:val="none"/>
        </w:rPr>
        <w:t>2.该表可拓展</w:t>
      </w:r>
    </w:p>
    <w:p w14:paraId="1E21EA92">
      <w:pPr>
        <w:spacing w:line="40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br w:type="page"/>
      </w:r>
    </w:p>
    <w:p w14:paraId="303B07BE">
      <w:pPr>
        <w:tabs>
          <w:tab w:val="left" w:pos="6300"/>
        </w:tabs>
        <w:snapToGrid w:val="0"/>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二</w:t>
      </w:r>
      <w:r>
        <w:rPr>
          <w:rFonts w:hint="eastAsia" w:ascii="仿宋" w:hAnsi="仿宋" w:eastAsia="仿宋" w:cs="仿宋"/>
          <w:color w:val="auto"/>
          <w:sz w:val="24"/>
          <w:szCs w:val="24"/>
          <w:highlight w:val="none"/>
        </w:rPr>
        <w:t>）商务评分需提供的资料（格式自定）</w:t>
      </w:r>
    </w:p>
    <w:p w14:paraId="194BDB20">
      <w:pPr>
        <w:spacing w:line="320" w:lineRule="atLeast"/>
        <w:ind w:firstLine="480" w:firstLineChars="200"/>
        <w:jc w:val="right"/>
        <w:rPr>
          <w:rFonts w:hint="eastAsia" w:ascii="仿宋" w:hAnsi="仿宋" w:eastAsia="仿宋" w:cs="仿宋"/>
          <w:color w:val="auto"/>
          <w:sz w:val="24"/>
          <w:szCs w:val="24"/>
          <w:highlight w:val="none"/>
        </w:rPr>
      </w:pPr>
    </w:p>
    <w:p w14:paraId="09ECF1A7">
      <w:pPr>
        <w:spacing w:line="360" w:lineRule="auto"/>
        <w:ind w:firstLine="480" w:firstLineChars="200"/>
        <w:rPr>
          <w:rFonts w:hint="eastAsia" w:ascii="仿宋" w:hAnsi="仿宋" w:eastAsia="仿宋" w:cs="仿宋"/>
          <w:color w:val="auto"/>
          <w:sz w:val="24"/>
          <w:szCs w:val="24"/>
          <w:highlight w:val="none"/>
        </w:rPr>
        <w:sectPr>
          <w:headerReference r:id="rId9" w:type="default"/>
          <w:type w:val="nextColumn"/>
          <w:pgSz w:w="11907" w:h="16840"/>
          <w:pgMar w:top="1134" w:right="1134" w:bottom="1134" w:left="1134" w:header="851" w:footer="992" w:gutter="0"/>
          <w:pgNumType w:fmt="numberInDash"/>
          <w:cols w:space="720" w:num="1"/>
          <w:docGrid w:linePitch="380" w:charSpace="-5735"/>
        </w:sectPr>
      </w:pPr>
    </w:p>
    <w:bookmarkEnd w:id="160"/>
    <w:p w14:paraId="6CC6EE8D">
      <w:pPr>
        <w:pStyle w:val="3"/>
        <w:pageBreakBefore w:val="0"/>
        <w:widowControl w:val="0"/>
        <w:numPr>
          <w:ilvl w:val="0"/>
          <w:numId w:val="0"/>
        </w:numPr>
        <w:kinsoku/>
        <w:wordWrap/>
        <w:overflowPunct/>
        <w:topLinePunct w:val="0"/>
        <w:autoSpaceDE/>
        <w:autoSpaceDN/>
        <w:bidi w:val="0"/>
        <w:spacing w:line="400" w:lineRule="exact"/>
        <w:textAlignment w:val="auto"/>
        <w:rPr>
          <w:rFonts w:hint="eastAsia" w:ascii="仿宋" w:hAnsi="仿宋" w:eastAsia="仿宋" w:cs="仿宋"/>
          <w:b/>
          <w:color w:val="auto"/>
          <w:kern w:val="2"/>
          <w:sz w:val="24"/>
          <w:szCs w:val="24"/>
          <w:lang w:val="en-US" w:eastAsia="zh-CN" w:bidi="ar-SA"/>
        </w:rPr>
      </w:pPr>
      <w:bookmarkStart w:id="162" w:name="_Toc1413"/>
      <w:bookmarkStart w:id="163" w:name="_Toc313888363"/>
      <w:bookmarkStart w:id="164" w:name="_Toc342913422"/>
      <w:bookmarkStart w:id="165" w:name="_Toc506310400"/>
      <w:bookmarkStart w:id="166" w:name="_Toc313008359"/>
      <w:r>
        <w:rPr>
          <w:rFonts w:hint="eastAsia" w:ascii="仿宋" w:hAnsi="仿宋" w:eastAsia="仿宋" w:cs="仿宋"/>
          <w:b/>
          <w:color w:val="auto"/>
          <w:kern w:val="2"/>
          <w:sz w:val="24"/>
          <w:szCs w:val="24"/>
          <w:lang w:val="en-US" w:eastAsia="zh-CN" w:bidi="ar-SA"/>
        </w:rPr>
        <w:t>四、资格条件及其他</w:t>
      </w:r>
      <w:bookmarkEnd w:id="162"/>
      <w:bookmarkEnd w:id="163"/>
      <w:bookmarkEnd w:id="164"/>
      <w:bookmarkEnd w:id="165"/>
      <w:bookmarkEnd w:id="166"/>
    </w:p>
    <w:p w14:paraId="6009410F">
      <w:pPr>
        <w:spacing w:line="40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（一）</w:t>
      </w: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法人营业执照（副本）或事业单位法人证书（副本）或个体工商户营业执照或有效的自然人身份证明或社会团体法人登记证书（提供复印件）</w:t>
      </w:r>
    </w:p>
    <w:p w14:paraId="7C452495">
      <w:pPr>
        <w:spacing w:line="400" w:lineRule="exact"/>
        <w:rPr>
          <w:rFonts w:hint="eastAsia" w:ascii="仿宋" w:hAnsi="仿宋" w:eastAsia="仿宋" w:cs="仿宋"/>
          <w:color w:val="auto"/>
          <w:sz w:val="24"/>
          <w:szCs w:val="24"/>
          <w:highlight w:val="none"/>
        </w:rPr>
      </w:pPr>
    </w:p>
    <w:p w14:paraId="64499A71">
      <w:pPr>
        <w:spacing w:line="400" w:lineRule="exact"/>
        <w:rPr>
          <w:rFonts w:hint="eastAsia" w:ascii="仿宋" w:hAnsi="仿宋" w:eastAsia="仿宋" w:cs="仿宋"/>
          <w:color w:val="auto"/>
          <w:sz w:val="24"/>
          <w:szCs w:val="24"/>
          <w:highlight w:val="none"/>
        </w:rPr>
      </w:pPr>
    </w:p>
    <w:p w14:paraId="17D75755">
      <w:pPr>
        <w:spacing w:line="400" w:lineRule="exact"/>
        <w:rPr>
          <w:rFonts w:hint="eastAsia" w:ascii="仿宋" w:hAnsi="仿宋" w:eastAsia="仿宋" w:cs="仿宋"/>
          <w:color w:val="auto"/>
          <w:sz w:val="24"/>
          <w:szCs w:val="24"/>
          <w:highlight w:val="none"/>
        </w:rPr>
      </w:pPr>
    </w:p>
    <w:p w14:paraId="063F3AE1">
      <w:pPr>
        <w:spacing w:line="400" w:lineRule="exact"/>
        <w:rPr>
          <w:rFonts w:hint="eastAsia" w:ascii="仿宋" w:hAnsi="仿宋" w:eastAsia="仿宋" w:cs="仿宋"/>
          <w:color w:val="auto"/>
          <w:sz w:val="24"/>
          <w:szCs w:val="24"/>
          <w:highlight w:val="none"/>
        </w:rPr>
      </w:pPr>
    </w:p>
    <w:p w14:paraId="6915F2CF">
      <w:pPr>
        <w:spacing w:line="400" w:lineRule="exact"/>
        <w:rPr>
          <w:rFonts w:hint="eastAsia" w:ascii="仿宋" w:hAnsi="仿宋" w:eastAsia="仿宋" w:cs="仿宋"/>
          <w:color w:val="auto"/>
          <w:sz w:val="24"/>
          <w:szCs w:val="24"/>
          <w:highlight w:val="none"/>
        </w:rPr>
      </w:pPr>
    </w:p>
    <w:p w14:paraId="7C8AC4EF">
      <w:pPr>
        <w:spacing w:line="40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br w:type="page"/>
      </w:r>
      <w:r>
        <w:rPr>
          <w:rFonts w:hint="eastAsia" w:ascii="仿宋" w:hAnsi="仿宋" w:eastAsia="仿宋" w:cs="仿宋"/>
          <w:color w:val="auto"/>
          <w:sz w:val="24"/>
          <w:szCs w:val="24"/>
          <w:highlight w:val="none"/>
        </w:rPr>
        <w:t>（二）法定代表人身份证明书（格式）</w:t>
      </w:r>
    </w:p>
    <w:p w14:paraId="66D00C41">
      <w:pPr>
        <w:spacing w:line="400" w:lineRule="exact"/>
        <w:rPr>
          <w:rFonts w:hint="eastAsia" w:ascii="仿宋" w:hAnsi="仿宋" w:eastAsia="仿宋" w:cs="仿宋"/>
          <w:color w:val="auto"/>
          <w:sz w:val="24"/>
          <w:szCs w:val="24"/>
          <w:highlight w:val="none"/>
        </w:rPr>
      </w:pPr>
    </w:p>
    <w:p w14:paraId="0283D3DD">
      <w:pPr>
        <w:spacing w:line="400" w:lineRule="exact"/>
        <w:jc w:val="center"/>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法定代表人身份证明书</w:t>
      </w:r>
    </w:p>
    <w:p w14:paraId="5D3CF3B8">
      <w:pPr>
        <w:spacing w:line="400" w:lineRule="exact"/>
        <w:rPr>
          <w:rFonts w:hint="eastAsia" w:ascii="仿宋" w:hAnsi="仿宋" w:eastAsia="仿宋" w:cs="仿宋"/>
          <w:color w:val="auto"/>
          <w:sz w:val="24"/>
          <w:szCs w:val="24"/>
          <w:highlight w:val="none"/>
        </w:rPr>
      </w:pPr>
    </w:p>
    <w:p w14:paraId="5A60CA54">
      <w:pPr>
        <w:spacing w:line="400" w:lineRule="exact"/>
        <w:rPr>
          <w:rFonts w:hint="eastAsia" w:ascii="仿宋" w:hAnsi="仿宋" w:eastAsia="仿宋" w:cs="仿宋"/>
          <w:color w:val="auto"/>
          <w:sz w:val="24"/>
          <w:szCs w:val="24"/>
          <w:highlight w:val="none"/>
        </w:rPr>
      </w:pPr>
    </w:p>
    <w:p w14:paraId="5611ECEA">
      <w:pPr>
        <w:spacing w:line="400" w:lineRule="exact"/>
        <w:rPr>
          <w:rFonts w:hint="eastAsia" w:ascii="仿宋" w:hAnsi="仿宋" w:eastAsia="仿宋" w:cs="仿宋"/>
          <w:color w:val="auto"/>
          <w:sz w:val="24"/>
          <w:szCs w:val="24"/>
          <w:highlight w:val="none"/>
          <w:u w:val="single"/>
        </w:rPr>
      </w:pPr>
      <w:r>
        <w:rPr>
          <w:rFonts w:hint="eastAsia" w:ascii="仿宋" w:hAnsi="仿宋" w:eastAsia="仿宋" w:cs="仿宋"/>
          <w:color w:val="auto"/>
          <w:sz w:val="24"/>
          <w:szCs w:val="24"/>
          <w:highlight w:val="none"/>
        </w:rPr>
        <w:t>比选项目名称：</w:t>
      </w:r>
      <w:r>
        <w:rPr>
          <w:rFonts w:hint="eastAsia" w:ascii="仿宋" w:hAnsi="仿宋" w:eastAsia="仿宋" w:cs="仿宋"/>
          <w:color w:val="auto"/>
          <w:sz w:val="24"/>
          <w:szCs w:val="24"/>
          <w:highlight w:val="none"/>
          <w:u w:val="single"/>
        </w:rPr>
        <w:t xml:space="preserve">                                            </w:t>
      </w:r>
    </w:p>
    <w:p w14:paraId="3C3E03F0">
      <w:pPr>
        <w:spacing w:line="400" w:lineRule="exact"/>
        <w:rPr>
          <w:rFonts w:hint="eastAsia" w:ascii="仿宋" w:hAnsi="仿宋" w:eastAsia="仿宋" w:cs="仿宋"/>
          <w:color w:val="auto"/>
          <w:sz w:val="24"/>
          <w:szCs w:val="24"/>
          <w:highlight w:val="none"/>
        </w:rPr>
      </w:pPr>
    </w:p>
    <w:p w14:paraId="5D3D4D8D">
      <w:pPr>
        <w:spacing w:line="40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致</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（采购代理机构名称）：</w:t>
      </w:r>
    </w:p>
    <w:p w14:paraId="7A645CA4">
      <w:pPr>
        <w:spacing w:line="40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w:t>
      </w:r>
    </w:p>
    <w:p w14:paraId="531FC916">
      <w:pPr>
        <w:spacing w:line="400" w:lineRule="exact"/>
        <w:ind w:firstLine="720" w:firstLineChars="3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 xml:space="preserve">（法定代表人姓名）在 </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名称）任</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（职务名称）职务，是</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名称）的法定代表人。</w:t>
      </w:r>
    </w:p>
    <w:p w14:paraId="531DD205">
      <w:pPr>
        <w:spacing w:line="400" w:lineRule="exact"/>
        <w:rPr>
          <w:rFonts w:hint="eastAsia" w:ascii="仿宋" w:hAnsi="仿宋" w:eastAsia="仿宋" w:cs="仿宋"/>
          <w:color w:val="auto"/>
          <w:sz w:val="24"/>
          <w:szCs w:val="24"/>
          <w:highlight w:val="none"/>
        </w:rPr>
      </w:pPr>
    </w:p>
    <w:p w14:paraId="3A818F0E">
      <w:pPr>
        <w:spacing w:line="40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特此证明。</w:t>
      </w:r>
    </w:p>
    <w:p w14:paraId="313059D2">
      <w:pPr>
        <w:spacing w:line="400" w:lineRule="exact"/>
        <w:rPr>
          <w:rFonts w:hint="eastAsia" w:ascii="仿宋" w:hAnsi="仿宋" w:eastAsia="仿宋" w:cs="仿宋"/>
          <w:color w:val="auto"/>
          <w:sz w:val="24"/>
          <w:szCs w:val="24"/>
          <w:highlight w:val="none"/>
        </w:rPr>
      </w:pPr>
    </w:p>
    <w:p w14:paraId="36D7C10C">
      <w:pPr>
        <w:spacing w:line="400" w:lineRule="exact"/>
        <w:rPr>
          <w:rFonts w:hint="eastAsia" w:ascii="仿宋" w:hAnsi="仿宋" w:eastAsia="仿宋" w:cs="仿宋"/>
          <w:color w:val="auto"/>
          <w:sz w:val="24"/>
          <w:szCs w:val="24"/>
          <w:highlight w:val="none"/>
        </w:rPr>
      </w:pPr>
    </w:p>
    <w:p w14:paraId="35D40FA6">
      <w:pPr>
        <w:spacing w:line="400" w:lineRule="exact"/>
        <w:rPr>
          <w:rFonts w:hint="eastAsia" w:ascii="仿宋" w:hAnsi="仿宋" w:eastAsia="仿宋" w:cs="仿宋"/>
          <w:color w:val="auto"/>
          <w:sz w:val="24"/>
          <w:szCs w:val="24"/>
          <w:highlight w:val="none"/>
        </w:rPr>
      </w:pPr>
    </w:p>
    <w:p w14:paraId="54C27857">
      <w:pPr>
        <w:spacing w:line="40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w:t>
      </w: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公章）</w:t>
      </w:r>
    </w:p>
    <w:p w14:paraId="4BBE8506">
      <w:pPr>
        <w:spacing w:line="400" w:lineRule="exact"/>
        <w:rPr>
          <w:rFonts w:hint="eastAsia" w:ascii="仿宋" w:hAnsi="仿宋" w:eastAsia="仿宋" w:cs="仿宋"/>
          <w:color w:val="auto"/>
          <w:sz w:val="24"/>
          <w:szCs w:val="24"/>
          <w:highlight w:val="none"/>
        </w:rPr>
      </w:pPr>
    </w:p>
    <w:p w14:paraId="65A7324E">
      <w:pPr>
        <w:spacing w:line="40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年   月   日</w:t>
      </w:r>
    </w:p>
    <w:p w14:paraId="753939EE">
      <w:pPr>
        <w:tabs>
          <w:tab w:val="left" w:pos="6300"/>
        </w:tabs>
        <w:snapToGrid w:val="0"/>
        <w:spacing w:line="500" w:lineRule="exact"/>
        <w:ind w:firstLine="570"/>
        <w:rPr>
          <w:rFonts w:hint="eastAsia" w:ascii="仿宋" w:hAnsi="仿宋" w:eastAsia="仿宋" w:cs="仿宋"/>
          <w:sz w:val="24"/>
          <w:highlight w:val="none"/>
        </w:rPr>
      </w:pPr>
      <w:r>
        <w:rPr>
          <w:rFonts w:hint="eastAsia" w:ascii="仿宋" w:hAnsi="仿宋" w:eastAsia="仿宋" w:cs="仿宋"/>
          <w:sz w:val="24"/>
          <w:highlight w:val="none"/>
        </w:rPr>
        <w:t>法定代表人电话：XXXXXXX      电子邮箱：XXXXXX@XXXXX（若授权他人办理并签署</w:t>
      </w:r>
      <w:r>
        <w:rPr>
          <w:rFonts w:hint="eastAsia" w:ascii="仿宋" w:hAnsi="仿宋" w:eastAsia="仿宋" w:cs="仿宋"/>
          <w:sz w:val="24"/>
          <w:highlight w:val="none"/>
          <w:lang w:eastAsia="zh-CN"/>
        </w:rPr>
        <w:t>响应文件</w:t>
      </w:r>
      <w:r>
        <w:rPr>
          <w:rFonts w:hint="eastAsia" w:ascii="仿宋" w:hAnsi="仿宋" w:eastAsia="仿宋" w:cs="仿宋"/>
          <w:sz w:val="24"/>
          <w:highlight w:val="none"/>
        </w:rPr>
        <w:t>的可不填写）</w:t>
      </w:r>
    </w:p>
    <w:p w14:paraId="3F1E28BA">
      <w:pPr>
        <w:spacing w:line="40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（附：法定代表人身份证正反面复印件）</w:t>
      </w:r>
    </w:p>
    <w:p w14:paraId="2562D509">
      <w:pPr>
        <w:spacing w:line="400" w:lineRule="exact"/>
        <w:rPr>
          <w:rFonts w:hint="eastAsia" w:ascii="仿宋" w:hAnsi="仿宋" w:eastAsia="仿宋" w:cs="仿宋"/>
          <w:color w:val="auto"/>
          <w:sz w:val="24"/>
          <w:szCs w:val="24"/>
          <w:highlight w:val="none"/>
        </w:rPr>
      </w:pPr>
    </w:p>
    <w:p w14:paraId="05D0B2A9">
      <w:pPr>
        <w:spacing w:line="400" w:lineRule="exact"/>
        <w:rPr>
          <w:rFonts w:hint="eastAsia" w:ascii="仿宋" w:hAnsi="仿宋" w:eastAsia="仿宋" w:cs="仿宋"/>
          <w:color w:val="auto"/>
          <w:sz w:val="24"/>
          <w:szCs w:val="24"/>
          <w:highlight w:val="none"/>
        </w:rPr>
      </w:pPr>
    </w:p>
    <w:p w14:paraId="7473EE84">
      <w:pPr>
        <w:spacing w:line="400" w:lineRule="exact"/>
        <w:rPr>
          <w:rFonts w:hint="eastAsia" w:ascii="仿宋" w:hAnsi="仿宋" w:eastAsia="仿宋" w:cs="仿宋"/>
          <w:color w:val="auto"/>
          <w:sz w:val="24"/>
          <w:szCs w:val="24"/>
          <w:highlight w:val="none"/>
        </w:rPr>
      </w:pPr>
    </w:p>
    <w:p w14:paraId="233A4439">
      <w:pPr>
        <w:spacing w:line="400" w:lineRule="exact"/>
        <w:rPr>
          <w:rFonts w:hint="eastAsia" w:ascii="仿宋" w:hAnsi="仿宋" w:eastAsia="仿宋" w:cs="仿宋"/>
          <w:color w:val="auto"/>
          <w:sz w:val="24"/>
          <w:szCs w:val="24"/>
          <w:highlight w:val="none"/>
        </w:rPr>
      </w:pPr>
    </w:p>
    <w:p w14:paraId="20547629">
      <w:pPr>
        <w:spacing w:line="400" w:lineRule="exact"/>
        <w:rPr>
          <w:rFonts w:hint="eastAsia" w:ascii="仿宋" w:hAnsi="仿宋" w:eastAsia="仿宋" w:cs="仿宋"/>
          <w:color w:val="auto"/>
          <w:sz w:val="24"/>
          <w:szCs w:val="24"/>
          <w:highlight w:val="none"/>
        </w:rPr>
      </w:pPr>
    </w:p>
    <w:p w14:paraId="63DA4541">
      <w:pPr>
        <w:spacing w:line="400" w:lineRule="exact"/>
        <w:rPr>
          <w:rFonts w:hint="eastAsia" w:ascii="仿宋" w:hAnsi="仿宋" w:eastAsia="仿宋" w:cs="仿宋"/>
          <w:color w:val="auto"/>
          <w:sz w:val="24"/>
          <w:szCs w:val="24"/>
          <w:highlight w:val="none"/>
        </w:rPr>
      </w:pPr>
    </w:p>
    <w:p w14:paraId="05886DCE">
      <w:pPr>
        <w:spacing w:line="40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br w:type="column"/>
      </w:r>
      <w:r>
        <w:rPr>
          <w:rFonts w:hint="eastAsia" w:ascii="仿宋" w:hAnsi="仿宋" w:eastAsia="仿宋" w:cs="仿宋"/>
          <w:color w:val="auto"/>
          <w:sz w:val="24"/>
          <w:szCs w:val="24"/>
          <w:highlight w:val="none"/>
        </w:rPr>
        <w:t>（三）法定代表人授权委托书（格式）</w:t>
      </w:r>
    </w:p>
    <w:p w14:paraId="3D8F1C6C">
      <w:pPr>
        <w:spacing w:line="400" w:lineRule="exact"/>
        <w:rPr>
          <w:rFonts w:hint="eastAsia" w:ascii="仿宋" w:hAnsi="仿宋" w:eastAsia="仿宋" w:cs="仿宋"/>
          <w:color w:val="auto"/>
          <w:sz w:val="24"/>
          <w:szCs w:val="24"/>
          <w:highlight w:val="none"/>
        </w:rPr>
      </w:pPr>
    </w:p>
    <w:p w14:paraId="6DF2431A">
      <w:pPr>
        <w:spacing w:line="400" w:lineRule="exact"/>
        <w:jc w:val="center"/>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法定代表人授权委托书</w:t>
      </w:r>
    </w:p>
    <w:p w14:paraId="26E7BBCB">
      <w:pPr>
        <w:spacing w:line="400" w:lineRule="exact"/>
        <w:rPr>
          <w:rFonts w:hint="eastAsia" w:ascii="仿宋" w:hAnsi="仿宋" w:eastAsia="仿宋" w:cs="仿宋"/>
          <w:color w:val="auto"/>
          <w:sz w:val="24"/>
          <w:szCs w:val="24"/>
          <w:highlight w:val="none"/>
        </w:rPr>
      </w:pPr>
    </w:p>
    <w:p w14:paraId="681FB625">
      <w:pPr>
        <w:spacing w:line="400" w:lineRule="exact"/>
        <w:rPr>
          <w:rFonts w:hint="eastAsia" w:ascii="仿宋" w:hAnsi="仿宋" w:eastAsia="仿宋" w:cs="仿宋"/>
          <w:color w:val="auto"/>
          <w:sz w:val="24"/>
          <w:szCs w:val="24"/>
          <w:highlight w:val="none"/>
          <w:u w:val="single"/>
        </w:rPr>
      </w:pPr>
      <w:r>
        <w:rPr>
          <w:rFonts w:hint="eastAsia" w:ascii="仿宋" w:hAnsi="仿宋" w:eastAsia="仿宋" w:cs="仿宋"/>
          <w:color w:val="auto"/>
          <w:sz w:val="24"/>
          <w:szCs w:val="24"/>
          <w:highlight w:val="none"/>
        </w:rPr>
        <w:t>比选项目名称：</w:t>
      </w:r>
      <w:r>
        <w:rPr>
          <w:rFonts w:hint="eastAsia" w:ascii="仿宋" w:hAnsi="仿宋" w:eastAsia="仿宋" w:cs="仿宋"/>
          <w:color w:val="auto"/>
          <w:sz w:val="24"/>
          <w:szCs w:val="24"/>
          <w:highlight w:val="none"/>
          <w:u w:val="single"/>
        </w:rPr>
        <w:t xml:space="preserve">                                            </w:t>
      </w:r>
    </w:p>
    <w:p w14:paraId="571CDC78">
      <w:pPr>
        <w:spacing w:line="400" w:lineRule="exact"/>
        <w:rPr>
          <w:rFonts w:hint="eastAsia" w:ascii="仿宋" w:hAnsi="仿宋" w:eastAsia="仿宋" w:cs="仿宋"/>
          <w:color w:val="auto"/>
          <w:sz w:val="24"/>
          <w:szCs w:val="24"/>
          <w:highlight w:val="none"/>
        </w:rPr>
      </w:pPr>
    </w:p>
    <w:p w14:paraId="1DE41B94">
      <w:pPr>
        <w:spacing w:line="400" w:lineRule="exact"/>
        <w:rPr>
          <w:rFonts w:hint="eastAsia" w:ascii="仿宋" w:hAnsi="仿宋" w:eastAsia="仿宋" w:cs="仿宋"/>
          <w:color w:val="auto"/>
          <w:sz w:val="24"/>
          <w:szCs w:val="24"/>
          <w:highlight w:val="none"/>
        </w:rPr>
      </w:pPr>
    </w:p>
    <w:p w14:paraId="3A41FFE3">
      <w:pPr>
        <w:spacing w:line="40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致：</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（采购代理机构名称）：</w:t>
      </w:r>
    </w:p>
    <w:p w14:paraId="6861F0D6">
      <w:pPr>
        <w:spacing w:line="400" w:lineRule="exact"/>
        <w:rPr>
          <w:rFonts w:hint="eastAsia" w:ascii="仿宋" w:hAnsi="仿宋" w:eastAsia="仿宋" w:cs="仿宋"/>
          <w:color w:val="auto"/>
          <w:sz w:val="24"/>
          <w:szCs w:val="24"/>
          <w:highlight w:val="none"/>
          <w:u w:val="single"/>
        </w:rPr>
      </w:pPr>
    </w:p>
    <w:p w14:paraId="33160894">
      <w:pPr>
        <w:spacing w:line="400" w:lineRule="exact"/>
        <w:ind w:firstLine="720" w:firstLineChars="3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法定代表人名称）是</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 xml:space="preserve">名称）的法定代表人，特授权 </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（被授权人姓名及身份证号码）代表我单位全权办理上述项目的比选、签约等具体工作，并签署全部有关文件、协议及合同。</w:t>
      </w:r>
    </w:p>
    <w:p w14:paraId="71CB1DD4">
      <w:pPr>
        <w:spacing w:line="40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我单位对被授权人的签字负全部责任。</w:t>
      </w:r>
    </w:p>
    <w:p w14:paraId="17A83B61">
      <w:pPr>
        <w:spacing w:line="400" w:lineRule="exact"/>
        <w:ind w:firstLine="720" w:firstLineChars="3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在撤消授权的书面通知以前，本授权书一直有效。被授权人在授权书有效期内签署的所有文件不因授权的撤消而失效。</w:t>
      </w:r>
    </w:p>
    <w:p w14:paraId="52AB0F6C">
      <w:pPr>
        <w:spacing w:line="400" w:lineRule="exact"/>
        <w:rPr>
          <w:rFonts w:hint="eastAsia" w:ascii="仿宋" w:hAnsi="仿宋" w:eastAsia="仿宋" w:cs="仿宋"/>
          <w:color w:val="auto"/>
          <w:sz w:val="24"/>
          <w:szCs w:val="24"/>
          <w:highlight w:val="none"/>
        </w:rPr>
      </w:pPr>
    </w:p>
    <w:p w14:paraId="4D902846">
      <w:pPr>
        <w:spacing w:line="400" w:lineRule="exact"/>
        <w:rPr>
          <w:rFonts w:hint="eastAsia" w:ascii="仿宋" w:hAnsi="仿宋" w:eastAsia="仿宋" w:cs="仿宋"/>
          <w:color w:val="auto"/>
          <w:sz w:val="24"/>
          <w:szCs w:val="24"/>
          <w:highlight w:val="none"/>
        </w:rPr>
      </w:pPr>
    </w:p>
    <w:p w14:paraId="6EC7286A">
      <w:pPr>
        <w:spacing w:line="40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被授权人：                                 </w:t>
      </w: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法定代表人：</w:t>
      </w:r>
    </w:p>
    <w:p w14:paraId="1896B31B">
      <w:pPr>
        <w:spacing w:line="400" w:lineRule="exact"/>
        <w:rPr>
          <w:rFonts w:hint="eastAsia" w:ascii="仿宋" w:hAnsi="仿宋" w:eastAsia="仿宋" w:cs="仿宋"/>
          <w:color w:val="auto"/>
          <w:sz w:val="24"/>
          <w:szCs w:val="24"/>
          <w:highlight w:val="none"/>
        </w:rPr>
      </w:pPr>
    </w:p>
    <w:p w14:paraId="623D2D78">
      <w:pPr>
        <w:spacing w:line="40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（签字或盖章）                                （签字或盖章）</w:t>
      </w:r>
    </w:p>
    <w:p w14:paraId="369ED8D2">
      <w:pPr>
        <w:spacing w:line="400" w:lineRule="exact"/>
        <w:rPr>
          <w:rFonts w:hint="eastAsia" w:ascii="仿宋" w:hAnsi="仿宋" w:eastAsia="仿宋" w:cs="仿宋"/>
          <w:color w:val="auto"/>
          <w:sz w:val="24"/>
          <w:szCs w:val="24"/>
          <w:highlight w:val="none"/>
        </w:rPr>
      </w:pPr>
    </w:p>
    <w:p w14:paraId="265EBC6D">
      <w:pPr>
        <w:spacing w:line="400" w:lineRule="exact"/>
        <w:rPr>
          <w:rFonts w:hint="eastAsia" w:ascii="仿宋" w:hAnsi="仿宋" w:eastAsia="仿宋" w:cs="仿宋"/>
          <w:color w:val="auto"/>
          <w:sz w:val="24"/>
          <w:szCs w:val="24"/>
          <w:highlight w:val="none"/>
        </w:rPr>
      </w:pPr>
    </w:p>
    <w:p w14:paraId="2C8435AD">
      <w:pPr>
        <w:spacing w:line="40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（附：被授权人身份证正反面复印件）</w:t>
      </w:r>
    </w:p>
    <w:p w14:paraId="0B9F90BF">
      <w:pPr>
        <w:spacing w:line="40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w:t>
      </w:r>
    </w:p>
    <w:p w14:paraId="789BAF33">
      <w:pPr>
        <w:spacing w:line="400" w:lineRule="exact"/>
        <w:rPr>
          <w:rFonts w:hint="eastAsia" w:ascii="仿宋" w:hAnsi="仿宋" w:eastAsia="仿宋" w:cs="仿宋"/>
          <w:color w:val="auto"/>
          <w:sz w:val="24"/>
          <w:szCs w:val="24"/>
          <w:highlight w:val="none"/>
        </w:rPr>
      </w:pPr>
    </w:p>
    <w:p w14:paraId="4CB3A5FE">
      <w:pPr>
        <w:spacing w:line="400" w:lineRule="exact"/>
        <w:rPr>
          <w:rFonts w:hint="eastAsia" w:ascii="仿宋" w:hAnsi="仿宋" w:eastAsia="仿宋" w:cs="仿宋"/>
          <w:color w:val="auto"/>
          <w:sz w:val="24"/>
          <w:szCs w:val="24"/>
          <w:highlight w:val="none"/>
        </w:rPr>
      </w:pPr>
    </w:p>
    <w:p w14:paraId="506EC7BB">
      <w:pPr>
        <w:spacing w:line="400" w:lineRule="exact"/>
        <w:ind w:firstLine="4320" w:firstLineChars="18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公章）</w:t>
      </w:r>
    </w:p>
    <w:p w14:paraId="65581577">
      <w:pPr>
        <w:spacing w:line="400" w:lineRule="exact"/>
        <w:rPr>
          <w:rFonts w:hint="eastAsia" w:ascii="仿宋" w:hAnsi="仿宋" w:eastAsia="仿宋" w:cs="仿宋"/>
          <w:color w:val="auto"/>
          <w:sz w:val="24"/>
          <w:szCs w:val="24"/>
          <w:highlight w:val="none"/>
        </w:rPr>
      </w:pPr>
    </w:p>
    <w:p w14:paraId="415039DF">
      <w:pPr>
        <w:spacing w:line="400" w:lineRule="exact"/>
        <w:ind w:firstLine="5520" w:firstLineChars="23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年   月   日</w:t>
      </w:r>
    </w:p>
    <w:p w14:paraId="11879952">
      <w:pPr>
        <w:tabs>
          <w:tab w:val="left" w:pos="6300"/>
        </w:tabs>
        <w:snapToGrid w:val="0"/>
        <w:spacing w:line="500" w:lineRule="exact"/>
        <w:ind w:right="480" w:firstLine="570"/>
        <w:jc w:val="left"/>
        <w:rPr>
          <w:rFonts w:hint="eastAsia" w:ascii="仿宋" w:hAnsi="仿宋" w:eastAsia="仿宋" w:cs="仿宋"/>
          <w:sz w:val="24"/>
          <w:highlight w:val="none"/>
        </w:rPr>
      </w:pPr>
      <w:r>
        <w:rPr>
          <w:rFonts w:hint="eastAsia" w:ascii="仿宋" w:hAnsi="仿宋" w:eastAsia="仿宋" w:cs="仿宋"/>
          <w:sz w:val="24"/>
          <w:highlight w:val="none"/>
        </w:rPr>
        <w:t>被授权人电话：XXXXXXX     电子邮箱：XXXXXX@XXXXX（若法定代表人办理并签署</w:t>
      </w:r>
      <w:r>
        <w:rPr>
          <w:rFonts w:hint="eastAsia" w:ascii="仿宋" w:hAnsi="仿宋" w:eastAsia="仿宋" w:cs="仿宋"/>
          <w:sz w:val="24"/>
          <w:highlight w:val="none"/>
          <w:lang w:eastAsia="zh-CN"/>
        </w:rPr>
        <w:t>响应文件</w:t>
      </w:r>
      <w:r>
        <w:rPr>
          <w:rFonts w:hint="eastAsia" w:ascii="仿宋" w:hAnsi="仿宋" w:eastAsia="仿宋" w:cs="仿宋"/>
          <w:sz w:val="24"/>
          <w:highlight w:val="none"/>
        </w:rPr>
        <w:t>的可不填写）</w:t>
      </w:r>
    </w:p>
    <w:p w14:paraId="51481836">
      <w:pPr>
        <w:tabs>
          <w:tab w:val="left" w:pos="6300"/>
        </w:tabs>
        <w:snapToGrid w:val="0"/>
        <w:spacing w:line="500" w:lineRule="exact"/>
        <w:ind w:right="480" w:firstLine="570"/>
        <w:jc w:val="left"/>
        <w:rPr>
          <w:rFonts w:hint="eastAsia" w:ascii="仿宋" w:hAnsi="仿宋" w:eastAsia="仿宋" w:cs="仿宋"/>
          <w:sz w:val="24"/>
          <w:highlight w:val="none"/>
        </w:rPr>
      </w:pPr>
      <w:r>
        <w:rPr>
          <w:rFonts w:hint="eastAsia" w:ascii="仿宋" w:hAnsi="仿宋" w:eastAsia="仿宋" w:cs="仿宋"/>
          <w:sz w:val="24"/>
          <w:highlight w:val="none"/>
        </w:rPr>
        <w:t>注：</w:t>
      </w:r>
    </w:p>
    <w:p w14:paraId="415D39FE">
      <w:pPr>
        <w:spacing w:line="480" w:lineRule="exact"/>
        <w:rPr>
          <w:rFonts w:hint="eastAsia" w:ascii="仿宋" w:hAnsi="仿宋" w:eastAsia="仿宋" w:cs="仿宋"/>
          <w:color w:val="auto"/>
          <w:sz w:val="24"/>
          <w:szCs w:val="24"/>
          <w:highlight w:val="none"/>
        </w:rPr>
      </w:pPr>
      <w:r>
        <w:rPr>
          <w:rFonts w:hint="eastAsia" w:ascii="仿宋" w:hAnsi="仿宋" w:eastAsia="仿宋" w:cs="仿宋"/>
          <w:sz w:val="24"/>
          <w:highlight w:val="none"/>
        </w:rPr>
        <w:t>1.若为法定代表人办理并签署</w:t>
      </w:r>
      <w:r>
        <w:rPr>
          <w:rFonts w:hint="eastAsia" w:ascii="仿宋" w:hAnsi="仿宋" w:eastAsia="仿宋" w:cs="仿宋"/>
          <w:sz w:val="24"/>
          <w:highlight w:val="none"/>
          <w:lang w:eastAsia="zh-CN"/>
        </w:rPr>
        <w:t>响应文件</w:t>
      </w:r>
      <w:r>
        <w:rPr>
          <w:rFonts w:hint="eastAsia" w:ascii="仿宋" w:hAnsi="仿宋" w:eastAsia="仿宋" w:cs="仿宋"/>
          <w:sz w:val="24"/>
          <w:highlight w:val="none"/>
        </w:rPr>
        <w:t>的，不提供此文件。</w:t>
      </w:r>
    </w:p>
    <w:p w14:paraId="0893B858">
      <w:pPr>
        <w:spacing w:line="40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br w:type="page"/>
      </w:r>
      <w:r>
        <w:rPr>
          <w:rFonts w:hint="eastAsia" w:ascii="仿宋" w:hAnsi="仿宋" w:eastAsia="仿宋" w:cs="仿宋"/>
          <w:color w:val="auto"/>
          <w:sz w:val="24"/>
          <w:szCs w:val="24"/>
          <w:highlight w:val="none"/>
        </w:rPr>
        <w:t>（四）基本资格条件承诺函</w:t>
      </w:r>
    </w:p>
    <w:p w14:paraId="293F86F7">
      <w:pPr>
        <w:spacing w:line="400" w:lineRule="exact"/>
        <w:rPr>
          <w:rFonts w:hint="eastAsia" w:ascii="仿宋" w:hAnsi="仿宋" w:eastAsia="仿宋" w:cs="仿宋"/>
          <w:color w:val="auto"/>
          <w:sz w:val="24"/>
          <w:szCs w:val="24"/>
          <w:highlight w:val="none"/>
        </w:rPr>
      </w:pPr>
    </w:p>
    <w:p w14:paraId="26C3B38E">
      <w:pPr>
        <w:tabs>
          <w:tab w:val="left" w:pos="6300"/>
        </w:tabs>
        <w:snapToGrid w:val="0"/>
        <w:spacing w:line="400" w:lineRule="exact"/>
        <w:ind w:firstLine="573"/>
        <w:jc w:val="center"/>
        <w:rPr>
          <w:rFonts w:hint="eastAsia"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rPr>
        <w:t>基本资格条件承诺函</w:t>
      </w:r>
    </w:p>
    <w:p w14:paraId="46688CFC">
      <w:pPr>
        <w:tabs>
          <w:tab w:val="left" w:pos="6300"/>
        </w:tabs>
        <w:snapToGrid w:val="0"/>
        <w:spacing w:line="400" w:lineRule="exact"/>
        <w:rPr>
          <w:rFonts w:hint="eastAsia" w:ascii="仿宋" w:hAnsi="仿宋" w:eastAsia="仿宋" w:cs="仿宋"/>
          <w:color w:val="auto"/>
          <w:sz w:val="24"/>
          <w:szCs w:val="24"/>
          <w:highlight w:val="none"/>
        </w:rPr>
      </w:pPr>
    </w:p>
    <w:p w14:paraId="4A7F138C">
      <w:pPr>
        <w:tabs>
          <w:tab w:val="left" w:pos="6300"/>
        </w:tabs>
        <w:snapToGrid w:val="0"/>
        <w:spacing w:line="40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致</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（采购代理机构名称）：</w:t>
      </w:r>
    </w:p>
    <w:p w14:paraId="35F759BA">
      <w:pPr>
        <w:tabs>
          <w:tab w:val="left" w:pos="6300"/>
        </w:tabs>
        <w:snapToGrid w:val="0"/>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名称）郑重承诺：</w:t>
      </w:r>
    </w:p>
    <w:p w14:paraId="48B131C4">
      <w:pPr>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1.我方具有良好的商业信誉和健全的财务会计制度，具有履行合同所必需的设备和专业技术能力，具</w:t>
      </w:r>
      <w:r>
        <w:rPr>
          <w:rFonts w:hint="eastAsia" w:ascii="仿宋" w:hAnsi="仿宋" w:eastAsia="仿宋" w:cs="仿宋"/>
          <w:color w:val="auto"/>
          <w:sz w:val="24"/>
          <w:szCs w:val="24"/>
          <w:highlight w:val="none"/>
          <w:lang w:val="zh-CN"/>
        </w:rPr>
        <w:t>有依法缴纳税收和社会保障金的良好记录</w:t>
      </w:r>
      <w:r>
        <w:rPr>
          <w:rFonts w:hint="eastAsia" w:ascii="仿宋" w:hAnsi="仿宋" w:eastAsia="仿宋" w:cs="仿宋"/>
          <w:color w:val="auto"/>
          <w:sz w:val="24"/>
          <w:szCs w:val="24"/>
          <w:highlight w:val="none"/>
        </w:rPr>
        <w:t>，参加本项目采购活动前三年内无重大违法活动记录。</w:t>
      </w:r>
    </w:p>
    <w:p w14:paraId="5649C22D">
      <w:pPr>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2.我方未列入在信用中国网站（www.creditchina.gov.cn）“失信被执行人”、“重大税收违法案件当事人名单”中，也未列入中国政府采购网（www.ccgp.gov.cn）“政府采购严重违法失信行为记录名单”中。</w:t>
      </w:r>
    </w:p>
    <w:p w14:paraId="5A077620">
      <w:pPr>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3.我方在采购项目评审（评标）环节结束后，随时接受采购人、采购代理机构的检查验证，配合提供相关证明材料，证明符合《中华人民共和国政府采购法》规定的</w:t>
      </w: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基本资格条件。</w:t>
      </w:r>
    </w:p>
    <w:p w14:paraId="49D22E32">
      <w:pPr>
        <w:tabs>
          <w:tab w:val="left" w:pos="6300"/>
        </w:tabs>
        <w:snapToGrid w:val="0"/>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我方对以上承诺负全部法律责任。</w:t>
      </w:r>
    </w:p>
    <w:p w14:paraId="7C5095AC">
      <w:pPr>
        <w:tabs>
          <w:tab w:val="left" w:pos="6300"/>
        </w:tabs>
        <w:snapToGrid w:val="0"/>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特此承诺。</w:t>
      </w:r>
    </w:p>
    <w:p w14:paraId="15B84D27">
      <w:pPr>
        <w:tabs>
          <w:tab w:val="left" w:pos="6300"/>
        </w:tabs>
        <w:snapToGrid w:val="0"/>
        <w:spacing w:line="400" w:lineRule="exact"/>
        <w:rPr>
          <w:rFonts w:hint="eastAsia" w:ascii="仿宋" w:hAnsi="仿宋" w:eastAsia="仿宋" w:cs="仿宋"/>
          <w:color w:val="auto"/>
          <w:sz w:val="24"/>
          <w:szCs w:val="24"/>
          <w:highlight w:val="none"/>
        </w:rPr>
      </w:pPr>
    </w:p>
    <w:p w14:paraId="35E82918">
      <w:pPr>
        <w:tabs>
          <w:tab w:val="left" w:pos="6300"/>
        </w:tabs>
        <w:snapToGrid w:val="0"/>
        <w:spacing w:line="400" w:lineRule="exact"/>
        <w:ind w:right="424" w:firstLine="570"/>
        <w:jc w:val="righ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公章）</w:t>
      </w:r>
    </w:p>
    <w:p w14:paraId="6603E146">
      <w:pPr>
        <w:tabs>
          <w:tab w:val="left" w:pos="6300"/>
        </w:tabs>
        <w:snapToGrid w:val="0"/>
        <w:spacing w:line="400" w:lineRule="exact"/>
        <w:ind w:firstLine="7440" w:firstLineChars="31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年   月   日</w:t>
      </w:r>
    </w:p>
    <w:p w14:paraId="5C76D1F9">
      <w:pPr>
        <w:spacing w:line="400" w:lineRule="exact"/>
        <w:ind w:firstLine="7680" w:firstLineChars="3200"/>
        <w:rPr>
          <w:rFonts w:hint="eastAsia" w:ascii="仿宋" w:hAnsi="仿宋" w:eastAsia="仿宋" w:cs="仿宋"/>
          <w:color w:val="auto"/>
          <w:sz w:val="24"/>
          <w:szCs w:val="24"/>
          <w:highlight w:val="none"/>
        </w:rPr>
      </w:pPr>
    </w:p>
    <w:p w14:paraId="5200AA45">
      <w:pPr>
        <w:spacing w:line="400" w:lineRule="exact"/>
        <w:rPr>
          <w:rFonts w:hint="eastAsia" w:ascii="仿宋" w:hAnsi="仿宋" w:eastAsia="仿宋" w:cs="仿宋"/>
          <w:color w:val="auto"/>
          <w:sz w:val="24"/>
          <w:szCs w:val="24"/>
          <w:highlight w:val="none"/>
        </w:rPr>
      </w:pPr>
    </w:p>
    <w:p w14:paraId="52E01BF8">
      <w:pPr>
        <w:spacing w:line="400" w:lineRule="exact"/>
        <w:rPr>
          <w:rFonts w:hint="eastAsia" w:ascii="仿宋" w:hAnsi="仿宋" w:eastAsia="仿宋" w:cs="仿宋"/>
          <w:color w:val="auto"/>
          <w:sz w:val="24"/>
          <w:szCs w:val="24"/>
          <w:highlight w:val="none"/>
        </w:rPr>
      </w:pPr>
    </w:p>
    <w:p w14:paraId="6349E00E">
      <w:pPr>
        <w:spacing w:line="400" w:lineRule="exact"/>
        <w:rPr>
          <w:rFonts w:hint="eastAsia" w:ascii="仿宋" w:hAnsi="仿宋" w:eastAsia="仿宋" w:cs="仿宋"/>
          <w:color w:val="auto"/>
          <w:sz w:val="24"/>
          <w:szCs w:val="24"/>
          <w:highlight w:val="none"/>
        </w:rPr>
      </w:pPr>
    </w:p>
    <w:p w14:paraId="4702BF6A">
      <w:pP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br w:type="page"/>
      </w:r>
    </w:p>
    <w:p w14:paraId="5F23B768">
      <w:pPr>
        <w:spacing w:line="40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（五）特定资格条件证书或证明文件</w:t>
      </w:r>
    </w:p>
    <w:p w14:paraId="7A9FE144">
      <w:pPr>
        <w:spacing w:line="400" w:lineRule="exact"/>
        <w:rPr>
          <w:rFonts w:hint="eastAsia" w:ascii="仿宋" w:hAnsi="仿宋" w:eastAsia="仿宋" w:cs="仿宋"/>
          <w:color w:val="auto"/>
          <w:sz w:val="24"/>
          <w:szCs w:val="24"/>
          <w:highlight w:val="none"/>
        </w:rPr>
      </w:pPr>
    </w:p>
    <w:p w14:paraId="751E53BD">
      <w:pPr>
        <w:pStyle w:val="3"/>
        <w:pageBreakBefore w:val="0"/>
        <w:widowControl w:val="0"/>
        <w:numPr>
          <w:ilvl w:val="0"/>
          <w:numId w:val="0"/>
        </w:numPr>
        <w:kinsoku/>
        <w:wordWrap/>
        <w:overflowPunct/>
        <w:topLinePunct w:val="0"/>
        <w:autoSpaceDE/>
        <w:autoSpaceDN/>
        <w:bidi w:val="0"/>
        <w:spacing w:line="400" w:lineRule="exact"/>
        <w:textAlignment w:val="auto"/>
        <w:rPr>
          <w:rFonts w:hint="eastAsia" w:ascii="仿宋" w:hAnsi="仿宋" w:eastAsia="仿宋" w:cs="仿宋"/>
          <w:color w:val="auto"/>
          <w:sz w:val="24"/>
          <w:szCs w:val="24"/>
          <w:highlight w:val="none"/>
        </w:rPr>
      </w:pPr>
      <w:bookmarkStart w:id="167" w:name="_Toc14422"/>
      <w:r>
        <w:rPr>
          <w:rFonts w:hint="eastAsia" w:ascii="仿宋" w:hAnsi="仿宋" w:eastAsia="仿宋" w:cs="仿宋"/>
          <w:color w:val="auto"/>
          <w:sz w:val="24"/>
          <w:szCs w:val="24"/>
          <w:highlight w:val="none"/>
        </w:rPr>
        <w:br w:type="page"/>
      </w:r>
      <w:bookmarkStart w:id="168" w:name="_Toc23612"/>
      <w:bookmarkStart w:id="169" w:name="_Toc16968"/>
      <w:bookmarkStart w:id="170" w:name="_Toc4738"/>
      <w:bookmarkStart w:id="171" w:name="_Toc23022"/>
      <w:bookmarkStart w:id="172" w:name="_Toc1632"/>
      <w:bookmarkStart w:id="173" w:name="_Toc49431877"/>
      <w:r>
        <w:rPr>
          <w:rFonts w:hint="eastAsia" w:ascii="仿宋" w:hAnsi="仿宋" w:eastAsia="仿宋" w:cs="仿宋"/>
          <w:b/>
          <w:color w:val="auto"/>
          <w:kern w:val="2"/>
          <w:sz w:val="24"/>
          <w:szCs w:val="24"/>
          <w:lang w:val="en-US" w:eastAsia="zh-CN" w:bidi="ar-SA"/>
        </w:rPr>
        <w:t>五、其他资料</w:t>
      </w:r>
      <w:bookmarkEnd w:id="167"/>
      <w:bookmarkEnd w:id="168"/>
      <w:bookmarkEnd w:id="169"/>
      <w:bookmarkEnd w:id="170"/>
      <w:bookmarkEnd w:id="171"/>
      <w:bookmarkEnd w:id="172"/>
      <w:bookmarkEnd w:id="173"/>
    </w:p>
    <w:p w14:paraId="6982267A">
      <w:pPr>
        <w:spacing w:line="40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（一）其他与项目有关的资料</w:t>
      </w:r>
    </w:p>
    <w:p w14:paraId="383FD687">
      <w:pPr>
        <w:spacing w:line="40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其他与项目有关的资料（自附）：</w:t>
      </w: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总体情况介绍、其他与本项目有关的资料等。</w:t>
      </w:r>
    </w:p>
    <w:p w14:paraId="4D0E1B82">
      <w:pPr>
        <w:spacing w:line="400" w:lineRule="exact"/>
        <w:rPr>
          <w:rFonts w:hint="eastAsia" w:ascii="仿宋" w:hAnsi="仿宋" w:eastAsia="仿宋" w:cs="仿宋"/>
          <w:color w:val="auto"/>
          <w:sz w:val="24"/>
          <w:szCs w:val="24"/>
          <w:highlight w:val="none"/>
        </w:rPr>
      </w:pPr>
    </w:p>
    <w:p w14:paraId="66EAFA52">
      <w:pPr>
        <w:spacing w:line="400" w:lineRule="exact"/>
        <w:rPr>
          <w:rFonts w:hint="eastAsia" w:ascii="仿宋" w:hAnsi="仿宋" w:eastAsia="仿宋" w:cs="仿宋"/>
          <w:color w:val="auto"/>
          <w:sz w:val="24"/>
          <w:szCs w:val="24"/>
          <w:highlight w:val="none"/>
        </w:rPr>
      </w:pPr>
    </w:p>
    <w:p w14:paraId="0752A93D">
      <w:pPr>
        <w:spacing w:line="400" w:lineRule="exact"/>
        <w:rPr>
          <w:rFonts w:hint="eastAsia" w:ascii="仿宋" w:hAnsi="仿宋" w:eastAsia="仿宋" w:cs="仿宋"/>
          <w:color w:val="auto"/>
          <w:sz w:val="24"/>
          <w:szCs w:val="24"/>
          <w:highlight w:val="none"/>
        </w:rPr>
      </w:pPr>
    </w:p>
    <w:p w14:paraId="529AA23B">
      <w:pPr>
        <w:spacing w:line="400" w:lineRule="exact"/>
        <w:rPr>
          <w:rFonts w:hint="eastAsia" w:ascii="仿宋" w:hAnsi="仿宋" w:eastAsia="仿宋" w:cs="仿宋"/>
          <w:color w:val="auto"/>
          <w:sz w:val="24"/>
          <w:szCs w:val="24"/>
          <w:highlight w:val="none"/>
        </w:rPr>
      </w:pPr>
    </w:p>
    <w:p w14:paraId="69571555">
      <w:pPr>
        <w:spacing w:line="400" w:lineRule="exact"/>
        <w:rPr>
          <w:rFonts w:hint="eastAsia" w:ascii="仿宋" w:hAnsi="仿宋" w:eastAsia="仿宋" w:cs="仿宋"/>
          <w:color w:val="auto"/>
          <w:sz w:val="24"/>
          <w:szCs w:val="24"/>
          <w:highlight w:val="none"/>
        </w:rPr>
      </w:pPr>
    </w:p>
    <w:p w14:paraId="201FBF2B">
      <w:pPr>
        <w:spacing w:line="400" w:lineRule="exact"/>
        <w:rPr>
          <w:rFonts w:hint="eastAsia" w:ascii="仿宋" w:hAnsi="仿宋" w:eastAsia="仿宋" w:cs="仿宋"/>
          <w:color w:val="auto"/>
          <w:sz w:val="24"/>
          <w:szCs w:val="24"/>
          <w:highlight w:val="none"/>
        </w:rPr>
      </w:pPr>
    </w:p>
    <w:p w14:paraId="2593F45E">
      <w:pPr>
        <w:spacing w:line="400" w:lineRule="exact"/>
        <w:rPr>
          <w:rFonts w:hint="eastAsia" w:ascii="仿宋" w:hAnsi="仿宋" w:eastAsia="仿宋" w:cs="仿宋"/>
          <w:color w:val="auto"/>
          <w:sz w:val="24"/>
          <w:szCs w:val="24"/>
          <w:highlight w:val="none"/>
        </w:rPr>
      </w:pPr>
    </w:p>
    <w:p w14:paraId="32A2A903">
      <w:pPr>
        <w:spacing w:line="400" w:lineRule="exact"/>
        <w:rPr>
          <w:rFonts w:hint="eastAsia" w:ascii="仿宋" w:hAnsi="仿宋" w:eastAsia="仿宋" w:cs="仿宋"/>
          <w:color w:val="auto"/>
          <w:sz w:val="24"/>
          <w:szCs w:val="24"/>
          <w:highlight w:val="none"/>
        </w:rPr>
      </w:pPr>
    </w:p>
    <w:p w14:paraId="4E151CD8">
      <w:pPr>
        <w:spacing w:line="400" w:lineRule="exact"/>
        <w:rPr>
          <w:rFonts w:hint="eastAsia" w:ascii="仿宋" w:hAnsi="仿宋" w:eastAsia="仿宋" w:cs="仿宋"/>
          <w:color w:val="auto"/>
          <w:sz w:val="24"/>
          <w:szCs w:val="24"/>
          <w:highlight w:val="none"/>
        </w:rPr>
      </w:pPr>
    </w:p>
    <w:p w14:paraId="48539C16">
      <w:pPr>
        <w:spacing w:line="400" w:lineRule="exact"/>
        <w:rPr>
          <w:rFonts w:hint="eastAsia" w:ascii="仿宋" w:hAnsi="仿宋" w:eastAsia="仿宋" w:cs="仿宋"/>
          <w:color w:val="auto"/>
          <w:sz w:val="24"/>
          <w:szCs w:val="24"/>
          <w:highlight w:val="none"/>
        </w:rPr>
      </w:pPr>
    </w:p>
    <w:p w14:paraId="28421932">
      <w:pPr>
        <w:spacing w:line="400" w:lineRule="exact"/>
        <w:rPr>
          <w:rFonts w:hint="eastAsia" w:ascii="仿宋" w:hAnsi="仿宋" w:eastAsia="仿宋" w:cs="仿宋"/>
          <w:color w:val="auto"/>
          <w:sz w:val="24"/>
          <w:szCs w:val="24"/>
          <w:highlight w:val="none"/>
        </w:rPr>
      </w:pPr>
    </w:p>
    <w:p w14:paraId="6E43D684">
      <w:pPr>
        <w:spacing w:line="400" w:lineRule="exact"/>
        <w:rPr>
          <w:rFonts w:hint="eastAsia" w:ascii="仿宋" w:hAnsi="仿宋" w:eastAsia="仿宋" w:cs="仿宋"/>
          <w:color w:val="auto"/>
          <w:sz w:val="24"/>
          <w:szCs w:val="24"/>
          <w:highlight w:val="none"/>
        </w:rPr>
      </w:pPr>
    </w:p>
    <w:p w14:paraId="69C21A1D">
      <w:pPr>
        <w:spacing w:line="400" w:lineRule="exact"/>
        <w:rPr>
          <w:rFonts w:hint="eastAsia" w:ascii="仿宋" w:hAnsi="仿宋" w:eastAsia="仿宋" w:cs="仿宋"/>
          <w:color w:val="auto"/>
          <w:sz w:val="24"/>
          <w:szCs w:val="24"/>
          <w:highlight w:val="none"/>
        </w:rPr>
      </w:pPr>
    </w:p>
    <w:p w14:paraId="09303C8A">
      <w:pPr>
        <w:spacing w:line="400" w:lineRule="exact"/>
        <w:rPr>
          <w:rFonts w:hint="eastAsia" w:ascii="仿宋" w:hAnsi="仿宋" w:eastAsia="仿宋" w:cs="仿宋"/>
          <w:color w:val="auto"/>
          <w:sz w:val="24"/>
          <w:szCs w:val="24"/>
          <w:highlight w:val="none"/>
        </w:rPr>
      </w:pPr>
    </w:p>
    <w:p w14:paraId="22DAAF3A">
      <w:pPr>
        <w:spacing w:line="400" w:lineRule="exact"/>
        <w:rPr>
          <w:rFonts w:hint="eastAsia" w:ascii="仿宋" w:hAnsi="仿宋" w:eastAsia="仿宋" w:cs="仿宋"/>
          <w:color w:val="auto"/>
          <w:sz w:val="24"/>
          <w:szCs w:val="24"/>
          <w:highlight w:val="none"/>
        </w:rPr>
      </w:pPr>
    </w:p>
    <w:p w14:paraId="108C7A3F">
      <w:pPr>
        <w:spacing w:line="400" w:lineRule="exact"/>
        <w:rPr>
          <w:rFonts w:hint="eastAsia" w:ascii="仿宋" w:hAnsi="仿宋" w:eastAsia="仿宋" w:cs="仿宋"/>
          <w:color w:val="auto"/>
          <w:sz w:val="24"/>
          <w:szCs w:val="24"/>
          <w:highlight w:val="none"/>
        </w:rPr>
      </w:pPr>
    </w:p>
    <w:p w14:paraId="4808BA76">
      <w:pPr>
        <w:spacing w:line="40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（结束）</w:t>
      </w:r>
    </w:p>
    <w:p w14:paraId="0A512B5C">
      <w:pPr>
        <w:tabs>
          <w:tab w:val="left" w:pos="6300"/>
        </w:tabs>
        <w:snapToGrid w:val="0"/>
        <w:spacing w:line="500" w:lineRule="exact"/>
        <w:ind w:firstLine="560"/>
        <w:jc w:val="center"/>
        <w:rPr>
          <w:rFonts w:hint="eastAsia" w:ascii="仿宋" w:hAnsi="仿宋" w:eastAsia="仿宋" w:cs="仿宋"/>
          <w:color w:val="auto"/>
          <w:sz w:val="24"/>
          <w:szCs w:val="24"/>
          <w:highlight w:val="none"/>
        </w:rPr>
      </w:pPr>
    </w:p>
    <w:sectPr>
      <w:pgSz w:w="11906" w:h="16838"/>
      <w:pgMar w:top="1134" w:right="1134" w:bottom="1134" w:left="113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embedRegular r:id="rId1" w:fontKey="{ACBC2415-6570-4B9E-8E06-5A0549B87077}"/>
  </w:font>
  <w:font w:name="Consolas">
    <w:panose1 w:val="020B0609020204030204"/>
    <w:charset w:val="00"/>
    <w:family w:val="auto"/>
    <w:pitch w:val="default"/>
    <w:sig w:usb0="E00006FF" w:usb1="0000FCFF" w:usb2="00000001" w:usb3="00000000" w:csb0="6000019F" w:csb1="DFD70000"/>
  </w:font>
  <w:font w:name="Tahoma">
    <w:panose1 w:val="020B0604030504040204"/>
    <w:charset w:val="00"/>
    <w:family w:val="swiss"/>
    <w:pitch w:val="default"/>
    <w:sig w:usb0="E1002EFF" w:usb1="C000605B" w:usb2="00000029" w:usb3="00000000" w:csb0="200101FF" w:csb1="2028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embedRegular r:id="rId2" w:fontKey="{811D9301-555C-4A1A-A496-A60974E2C63A}"/>
  </w:font>
  <w:font w:name="方正仿宋_GBK">
    <w:panose1 w:val="02000000000000000000"/>
    <w:charset w:val="86"/>
    <w:family w:val="script"/>
    <w:pitch w:val="default"/>
    <w:sig w:usb0="A00002BF" w:usb1="38CF7CFA" w:usb2="00082016" w:usb3="00000000" w:csb0="00040001" w:csb1="00000000"/>
    <w:embedRegular r:id="rId3" w:fontKey="{CBF2F8ED-687E-4FB6-887B-BCB4985929AB}"/>
  </w:font>
  <w:font w:name="WPSEMBED1">
    <w:panose1 w:val="02000000000000000000"/>
    <w:charset w:val="86"/>
    <w:family w:val="auto"/>
    <w:pitch w:val="default"/>
    <w:sig w:usb0="A00002BF" w:usb1="38CF7CFA" w:usb2="00082016" w:usb3="00000000" w:csb0="00040001" w:csb1="00000000"/>
  </w:font>
  <w:font w:name="Microsoft YaHei U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B4969A">
    <w:pPr>
      <w:pStyle w:val="16"/>
      <w:jc w:val="center"/>
      <w:rPr>
        <w:sz w:val="24"/>
      </w:rPr>
    </w:pPr>
    <w:r>
      <w:rPr>
        <w:sz w:val="24"/>
      </w:rPr>
      <w:fldChar w:fldCharType="begin"/>
    </w:r>
    <w:r>
      <w:rPr>
        <w:rStyle w:val="28"/>
        <w:sz w:val="24"/>
      </w:rPr>
      <w:instrText xml:space="preserve"> PAGE </w:instrText>
    </w:r>
    <w:r>
      <w:rPr>
        <w:sz w:val="24"/>
      </w:rPr>
      <w:fldChar w:fldCharType="separate"/>
    </w:r>
    <w:r>
      <w:rPr>
        <w:rStyle w:val="28"/>
        <w:sz w:val="24"/>
      </w:rPr>
      <w:t>- 2 -</w:t>
    </w:r>
    <w:r>
      <w:rPr>
        <w:sz w:val="2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1AA58F">
    <w:pPr>
      <w:pStyle w:val="16"/>
      <w:framePr w:wrap="around" w:vAnchor="text" w:hAnchor="margin" w:xAlign="center" w:y="1"/>
      <w:rPr>
        <w:rStyle w:val="28"/>
      </w:rPr>
    </w:pPr>
    <w:r>
      <w:fldChar w:fldCharType="begin"/>
    </w:r>
    <w:r>
      <w:rPr>
        <w:rStyle w:val="28"/>
      </w:rPr>
      <w:instrText xml:space="preserve">PAGE  </w:instrText>
    </w:r>
    <w:r>
      <w:fldChar w:fldCharType="separate"/>
    </w:r>
    <w:r>
      <w:fldChar w:fldCharType="end"/>
    </w:r>
  </w:p>
  <w:p w14:paraId="784C83C0">
    <w:pPr>
      <w:pStyle w:val="1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F8F6C6">
    <w:pPr>
      <w:pStyle w:val="1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D6F46A4">
                          <w:pPr>
                            <w:pStyle w:val="1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2D6F46A4">
                    <w:pPr>
                      <w:pStyle w:val="16"/>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911E72">
    <w:pPr>
      <w:pStyle w:val="17"/>
      <w:jc w:val="both"/>
      <w:rPr>
        <w:rFonts w:ascii="方正仿宋_GBK" w:eastAsia="方正仿宋_GBK"/>
        <w:sz w:val="21"/>
        <w:szCs w:val="24"/>
      </w:rPr>
    </w:pPr>
    <w:r>
      <w:rPr>
        <w:rFonts w:hint="eastAsia" w:ascii="方正仿宋_GBK" w:eastAsia="方正仿宋_GBK"/>
        <w:sz w:val="21"/>
        <w:szCs w:val="21"/>
      </w:rPr>
      <w:drawing>
        <wp:inline distT="0" distB="0" distL="114300" distR="114300">
          <wp:extent cx="250190" cy="213995"/>
          <wp:effectExtent l="0" t="0" r="16510" b="14605"/>
          <wp:docPr id="1" name="图片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LOGO"/>
                  <pic:cNvPicPr>
                    <a:picLocks noChangeAspect="1"/>
                  </pic:cNvPicPr>
                </pic:nvPicPr>
                <pic:blipFill>
                  <a:blip r:embed="rId1"/>
                  <a:stretch>
                    <a:fillRect/>
                  </a:stretch>
                </pic:blipFill>
                <pic:spPr>
                  <a:xfrm>
                    <a:off x="0" y="0"/>
                    <a:ext cx="250190" cy="213995"/>
                  </a:xfrm>
                  <a:prstGeom prst="rect">
                    <a:avLst/>
                  </a:prstGeom>
                  <a:noFill/>
                  <a:ln>
                    <a:noFill/>
                  </a:ln>
                </pic:spPr>
              </pic:pic>
            </a:graphicData>
          </a:graphic>
        </wp:inline>
      </w:drawing>
    </w:r>
    <w:r>
      <w:rPr>
        <w:rFonts w:hint="eastAsia" w:ascii="仿宋" w:hAnsi="仿宋" w:eastAsia="仿宋"/>
        <w:sz w:val="21"/>
        <w:szCs w:val="21"/>
        <w:lang w:eastAsia="zh-CN"/>
      </w:rPr>
      <w:t>蓝普特科技(重庆)有限公司</w:t>
    </w:r>
    <w:r>
      <w:rPr>
        <w:rFonts w:hint="eastAsia" w:ascii="宋体" w:hAnsi="宋体"/>
        <w:sz w:val="21"/>
        <w:szCs w:val="21"/>
      </w:rPr>
      <w:t xml:space="preserve">                                           </w:t>
    </w:r>
    <w:r>
      <w:rPr>
        <w:rFonts w:hint="eastAsia" w:ascii="仿宋" w:hAnsi="仿宋" w:eastAsia="仿宋" w:cs="仿宋"/>
        <w:sz w:val="21"/>
        <w:szCs w:val="21"/>
      </w:rPr>
      <w:t>竞争性比选文件</w:t>
    </w:r>
    <w:r>
      <w:rPr>
        <w:rFonts w:hint="eastAsia" w:ascii="方正仿宋_GBK" w:eastAsia="方正仿宋_GBK"/>
        <w:sz w:val="21"/>
        <w:szCs w:val="24"/>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1A63D4">
    <w:pPr>
      <w:pStyle w:val="1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7E3E05">
    <w:pPr>
      <w:pStyle w:val="17"/>
      <w:pBdr>
        <w:bottom w:val="none" w:color="auto" w:sz="0" w:space="0"/>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4B7B61">
    <w:pPr>
      <w:pStyle w:val="17"/>
      <w:jc w:val="both"/>
      <w:rPr>
        <w:rFonts w:hint="eastAsia" w:ascii="仿宋" w:hAnsi="仿宋" w:eastAsia="仿宋" w:cs="仿宋"/>
        <w:sz w:val="24"/>
        <w:szCs w:val="24"/>
        <w:lang w:eastAsia="zh-CN"/>
      </w:rPr>
    </w:pPr>
    <w:r>
      <w:rPr>
        <w:rFonts w:hint="eastAsia" w:ascii="方正仿宋_GBK" w:eastAsia="方正仿宋_GBK"/>
        <w:sz w:val="21"/>
        <w:szCs w:val="24"/>
      </w:rPr>
      <w:drawing>
        <wp:inline distT="0" distB="0" distL="114300" distR="114300">
          <wp:extent cx="279400" cy="236855"/>
          <wp:effectExtent l="0" t="0" r="10160" b="6985"/>
          <wp:docPr id="5" name="图片 2" descr="聚创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descr="聚创LOGO"/>
                  <pic:cNvPicPr>
                    <a:picLocks noChangeAspect="1"/>
                  </pic:cNvPicPr>
                </pic:nvPicPr>
                <pic:blipFill>
                  <a:blip r:embed="rId1"/>
                  <a:stretch>
                    <a:fillRect/>
                  </a:stretch>
                </pic:blipFill>
                <pic:spPr>
                  <a:xfrm>
                    <a:off x="0" y="0"/>
                    <a:ext cx="279400" cy="236855"/>
                  </a:xfrm>
                  <a:prstGeom prst="rect">
                    <a:avLst/>
                  </a:prstGeom>
                  <a:noFill/>
                  <a:ln>
                    <a:noFill/>
                  </a:ln>
                </pic:spPr>
              </pic:pic>
            </a:graphicData>
          </a:graphic>
        </wp:inline>
      </w:drawing>
    </w:r>
    <w:r>
      <w:rPr>
        <w:rFonts w:hint="eastAsia" w:ascii="仿宋" w:hAnsi="仿宋" w:eastAsia="仿宋" w:cs="仿宋"/>
        <w:sz w:val="24"/>
        <w:szCs w:val="24"/>
        <w:lang w:eastAsia="zh-CN"/>
      </w:rPr>
      <w:t>重庆市聚创招标代理有限公司</w:t>
    </w:r>
    <w:r>
      <w:rPr>
        <w:rFonts w:hint="eastAsia" w:ascii="宋体" w:hAnsi="宋体"/>
        <w:sz w:val="21"/>
        <w:szCs w:val="21"/>
      </w:rPr>
      <w:t xml:space="preserve">                  </w:t>
    </w:r>
    <w:r>
      <w:rPr>
        <w:rFonts w:hint="eastAsia" w:ascii="宋体" w:hAnsi="宋体"/>
        <w:sz w:val="21"/>
        <w:szCs w:val="21"/>
        <w:lang w:val="en-US" w:eastAsia="zh-CN"/>
      </w:rPr>
      <w:t xml:space="preserve">    </w:t>
    </w:r>
    <w:r>
      <w:rPr>
        <w:rFonts w:hint="eastAsia" w:ascii="宋体" w:hAnsi="宋体"/>
        <w:sz w:val="21"/>
        <w:szCs w:val="21"/>
      </w:rPr>
      <w:t xml:space="preserve">               </w:t>
    </w:r>
    <w:r>
      <w:rPr>
        <w:rFonts w:hint="eastAsia" w:ascii="宋体" w:hAnsi="宋体"/>
        <w:sz w:val="21"/>
        <w:szCs w:val="21"/>
        <w:lang w:val="en-US" w:eastAsia="zh-CN"/>
      </w:rPr>
      <w:t xml:space="preserve">  </w:t>
    </w:r>
    <w:r>
      <w:rPr>
        <w:rFonts w:hint="eastAsia" w:ascii="仿宋" w:hAnsi="仿宋" w:eastAsia="仿宋" w:cs="仿宋"/>
        <w:sz w:val="24"/>
        <w:szCs w:val="24"/>
        <w:lang w:val="en-US" w:eastAsia="zh-CN"/>
      </w:rPr>
      <w:t xml:space="preserve"> </w:t>
    </w:r>
    <w:r>
      <w:rPr>
        <w:rFonts w:hint="eastAsia" w:ascii="仿宋" w:hAnsi="仿宋" w:eastAsia="仿宋" w:cs="仿宋"/>
        <w:sz w:val="24"/>
        <w:szCs w:val="24"/>
        <w:lang w:eastAsia="zh-CN"/>
      </w:rPr>
      <w:t>竞争性比选文件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264B732"/>
    <w:multiLevelType w:val="singleLevel"/>
    <w:tmpl w:val="8264B732"/>
    <w:lvl w:ilvl="0" w:tentative="0">
      <w:start w:val="4"/>
      <w:numFmt w:val="chineseCounting"/>
      <w:suff w:val="space"/>
      <w:lvlText w:val="第%1篇"/>
      <w:lvlJc w:val="left"/>
      <w:rPr>
        <w:rFonts w:hint="eastAsia"/>
      </w:rPr>
    </w:lvl>
  </w:abstractNum>
  <w:abstractNum w:abstractNumId="1">
    <w:nsid w:val="930D329C"/>
    <w:multiLevelType w:val="singleLevel"/>
    <w:tmpl w:val="930D329C"/>
    <w:lvl w:ilvl="0" w:tentative="0">
      <w:start w:val="3"/>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RmNmYwMDVlMzJlZWJiYTU5NmE1M2QwZmNmNDQ5MGQifQ=="/>
  </w:docVars>
  <w:rsids>
    <w:rsidRoot w:val="007A16A6"/>
    <w:rsid w:val="00001F79"/>
    <w:rsid w:val="000E7463"/>
    <w:rsid w:val="004371E3"/>
    <w:rsid w:val="00483F46"/>
    <w:rsid w:val="00485C2C"/>
    <w:rsid w:val="007A16A6"/>
    <w:rsid w:val="00967338"/>
    <w:rsid w:val="009A23AB"/>
    <w:rsid w:val="009C7964"/>
    <w:rsid w:val="00B12A73"/>
    <w:rsid w:val="00BA5DF6"/>
    <w:rsid w:val="00D10673"/>
    <w:rsid w:val="00D52756"/>
    <w:rsid w:val="00D53746"/>
    <w:rsid w:val="00E23B02"/>
    <w:rsid w:val="00E91541"/>
    <w:rsid w:val="00FC5295"/>
    <w:rsid w:val="011801B4"/>
    <w:rsid w:val="01583118"/>
    <w:rsid w:val="015E3A12"/>
    <w:rsid w:val="019C5EFA"/>
    <w:rsid w:val="01D41FEB"/>
    <w:rsid w:val="01E0649E"/>
    <w:rsid w:val="01EA636A"/>
    <w:rsid w:val="01F11601"/>
    <w:rsid w:val="02013B6C"/>
    <w:rsid w:val="02362B3B"/>
    <w:rsid w:val="02372857"/>
    <w:rsid w:val="024C0DD3"/>
    <w:rsid w:val="028E2BE3"/>
    <w:rsid w:val="02900CBF"/>
    <w:rsid w:val="0294794D"/>
    <w:rsid w:val="02AD7D25"/>
    <w:rsid w:val="02B67E79"/>
    <w:rsid w:val="02BD7F57"/>
    <w:rsid w:val="02D07A91"/>
    <w:rsid w:val="02EC19C0"/>
    <w:rsid w:val="02FC0103"/>
    <w:rsid w:val="031B20B6"/>
    <w:rsid w:val="032A1D61"/>
    <w:rsid w:val="032D0F7E"/>
    <w:rsid w:val="033428D7"/>
    <w:rsid w:val="035E0DBD"/>
    <w:rsid w:val="037D0236"/>
    <w:rsid w:val="038A1E69"/>
    <w:rsid w:val="038A570F"/>
    <w:rsid w:val="03975CFC"/>
    <w:rsid w:val="039E10EB"/>
    <w:rsid w:val="03B510E0"/>
    <w:rsid w:val="03B66D3C"/>
    <w:rsid w:val="03EF6039"/>
    <w:rsid w:val="03FF7DE1"/>
    <w:rsid w:val="04162652"/>
    <w:rsid w:val="041D6583"/>
    <w:rsid w:val="04274F2B"/>
    <w:rsid w:val="044B0558"/>
    <w:rsid w:val="04574102"/>
    <w:rsid w:val="04866AD2"/>
    <w:rsid w:val="04BE4941"/>
    <w:rsid w:val="04C210B5"/>
    <w:rsid w:val="04D01847"/>
    <w:rsid w:val="04D806FC"/>
    <w:rsid w:val="04DA26C6"/>
    <w:rsid w:val="04F35297"/>
    <w:rsid w:val="04FB243E"/>
    <w:rsid w:val="051C0AFA"/>
    <w:rsid w:val="05243941"/>
    <w:rsid w:val="05263B5D"/>
    <w:rsid w:val="058E1529"/>
    <w:rsid w:val="05912AC6"/>
    <w:rsid w:val="05924D4E"/>
    <w:rsid w:val="05A21435"/>
    <w:rsid w:val="05AE3AE8"/>
    <w:rsid w:val="05CF5FA2"/>
    <w:rsid w:val="05E21BDB"/>
    <w:rsid w:val="05E7729D"/>
    <w:rsid w:val="05EC0902"/>
    <w:rsid w:val="05ED5DDC"/>
    <w:rsid w:val="05FC0C11"/>
    <w:rsid w:val="062C120A"/>
    <w:rsid w:val="06647D53"/>
    <w:rsid w:val="06683691"/>
    <w:rsid w:val="06745A21"/>
    <w:rsid w:val="06B86A37"/>
    <w:rsid w:val="06CE1DB6"/>
    <w:rsid w:val="070B125C"/>
    <w:rsid w:val="07183F2F"/>
    <w:rsid w:val="071C6FC5"/>
    <w:rsid w:val="07231007"/>
    <w:rsid w:val="072D6361"/>
    <w:rsid w:val="072E0AA7"/>
    <w:rsid w:val="072E5CE5"/>
    <w:rsid w:val="073A1725"/>
    <w:rsid w:val="073F0F06"/>
    <w:rsid w:val="07487DBA"/>
    <w:rsid w:val="0765096C"/>
    <w:rsid w:val="0768045D"/>
    <w:rsid w:val="077627A2"/>
    <w:rsid w:val="07853019"/>
    <w:rsid w:val="078B414B"/>
    <w:rsid w:val="078E4A89"/>
    <w:rsid w:val="07A34FF1"/>
    <w:rsid w:val="07CD1340"/>
    <w:rsid w:val="0826408A"/>
    <w:rsid w:val="082C148A"/>
    <w:rsid w:val="08314CF2"/>
    <w:rsid w:val="088766C0"/>
    <w:rsid w:val="08A2174C"/>
    <w:rsid w:val="08AC4379"/>
    <w:rsid w:val="08FB476A"/>
    <w:rsid w:val="08FF3F01"/>
    <w:rsid w:val="096A2333"/>
    <w:rsid w:val="09862E1C"/>
    <w:rsid w:val="09945539"/>
    <w:rsid w:val="09A74F2C"/>
    <w:rsid w:val="09AA4D5C"/>
    <w:rsid w:val="09C06C05"/>
    <w:rsid w:val="09D0079B"/>
    <w:rsid w:val="09D74EF0"/>
    <w:rsid w:val="09F63AFE"/>
    <w:rsid w:val="0A0C30B6"/>
    <w:rsid w:val="0A3463D4"/>
    <w:rsid w:val="0A516121"/>
    <w:rsid w:val="0A5E25F9"/>
    <w:rsid w:val="0A621193"/>
    <w:rsid w:val="0A6F1B02"/>
    <w:rsid w:val="0A901F39"/>
    <w:rsid w:val="0A904DE1"/>
    <w:rsid w:val="0A9D56F2"/>
    <w:rsid w:val="0AA90B70"/>
    <w:rsid w:val="0ACC485F"/>
    <w:rsid w:val="0AD100C7"/>
    <w:rsid w:val="0AD72553"/>
    <w:rsid w:val="0AFF2E86"/>
    <w:rsid w:val="0B0E131B"/>
    <w:rsid w:val="0B1D0446"/>
    <w:rsid w:val="0B64584D"/>
    <w:rsid w:val="0B64718D"/>
    <w:rsid w:val="0B7E74F7"/>
    <w:rsid w:val="0BBD429F"/>
    <w:rsid w:val="0BBE064B"/>
    <w:rsid w:val="0BC11EE9"/>
    <w:rsid w:val="0C0A3ED7"/>
    <w:rsid w:val="0C2601D9"/>
    <w:rsid w:val="0C2B3807"/>
    <w:rsid w:val="0C601702"/>
    <w:rsid w:val="0C6122B2"/>
    <w:rsid w:val="0C6D06E2"/>
    <w:rsid w:val="0C7F57E9"/>
    <w:rsid w:val="0CC46135"/>
    <w:rsid w:val="0CE31135"/>
    <w:rsid w:val="0CE94E0E"/>
    <w:rsid w:val="0CE95B9C"/>
    <w:rsid w:val="0CF06F2A"/>
    <w:rsid w:val="0D135FD2"/>
    <w:rsid w:val="0D2F254C"/>
    <w:rsid w:val="0D3D5EE8"/>
    <w:rsid w:val="0D5A6955"/>
    <w:rsid w:val="0D6C40D7"/>
    <w:rsid w:val="0D780CCE"/>
    <w:rsid w:val="0D933D59"/>
    <w:rsid w:val="0D9345EC"/>
    <w:rsid w:val="0DC15B08"/>
    <w:rsid w:val="0DD644D9"/>
    <w:rsid w:val="0E2055ED"/>
    <w:rsid w:val="0E912047"/>
    <w:rsid w:val="0EA039FB"/>
    <w:rsid w:val="0EBA1B76"/>
    <w:rsid w:val="0EC00B7E"/>
    <w:rsid w:val="0ECE329B"/>
    <w:rsid w:val="0EEB0949"/>
    <w:rsid w:val="0EED3AD5"/>
    <w:rsid w:val="0F126B2F"/>
    <w:rsid w:val="0F1420B5"/>
    <w:rsid w:val="0F4C41C0"/>
    <w:rsid w:val="0F713C26"/>
    <w:rsid w:val="0F7A6104"/>
    <w:rsid w:val="0FF744AF"/>
    <w:rsid w:val="10172A20"/>
    <w:rsid w:val="101833B4"/>
    <w:rsid w:val="102B2027"/>
    <w:rsid w:val="102D2243"/>
    <w:rsid w:val="107C6D27"/>
    <w:rsid w:val="108765D6"/>
    <w:rsid w:val="10C009C2"/>
    <w:rsid w:val="10CA5CE4"/>
    <w:rsid w:val="10F644F5"/>
    <w:rsid w:val="110A4F79"/>
    <w:rsid w:val="110C1E59"/>
    <w:rsid w:val="112836B9"/>
    <w:rsid w:val="1130443C"/>
    <w:rsid w:val="113118BF"/>
    <w:rsid w:val="11317B11"/>
    <w:rsid w:val="11496C09"/>
    <w:rsid w:val="11542D1E"/>
    <w:rsid w:val="11553800"/>
    <w:rsid w:val="11836E7B"/>
    <w:rsid w:val="118801A1"/>
    <w:rsid w:val="11A27B01"/>
    <w:rsid w:val="11A917EE"/>
    <w:rsid w:val="11CE35B2"/>
    <w:rsid w:val="11D840DD"/>
    <w:rsid w:val="11E01CC0"/>
    <w:rsid w:val="11E10C03"/>
    <w:rsid w:val="11E678AF"/>
    <w:rsid w:val="12137217"/>
    <w:rsid w:val="121470EA"/>
    <w:rsid w:val="121E4192"/>
    <w:rsid w:val="12384D02"/>
    <w:rsid w:val="125C6E10"/>
    <w:rsid w:val="12701699"/>
    <w:rsid w:val="12723F3D"/>
    <w:rsid w:val="12791770"/>
    <w:rsid w:val="12887666"/>
    <w:rsid w:val="12AD544A"/>
    <w:rsid w:val="12E017EF"/>
    <w:rsid w:val="12EB0137"/>
    <w:rsid w:val="130A5D94"/>
    <w:rsid w:val="133B7018"/>
    <w:rsid w:val="133D36D6"/>
    <w:rsid w:val="134202B1"/>
    <w:rsid w:val="13484F1B"/>
    <w:rsid w:val="13682F98"/>
    <w:rsid w:val="13715B2A"/>
    <w:rsid w:val="13A9398F"/>
    <w:rsid w:val="13BC3EEE"/>
    <w:rsid w:val="13EC1FE4"/>
    <w:rsid w:val="144638D4"/>
    <w:rsid w:val="144D6A10"/>
    <w:rsid w:val="144E09DA"/>
    <w:rsid w:val="14627FE2"/>
    <w:rsid w:val="14902DA1"/>
    <w:rsid w:val="14904B4F"/>
    <w:rsid w:val="149A41EF"/>
    <w:rsid w:val="14B81816"/>
    <w:rsid w:val="150115A9"/>
    <w:rsid w:val="150712B5"/>
    <w:rsid w:val="151C7F30"/>
    <w:rsid w:val="155D250F"/>
    <w:rsid w:val="157B24DC"/>
    <w:rsid w:val="157B50AD"/>
    <w:rsid w:val="15A30C01"/>
    <w:rsid w:val="15A9236C"/>
    <w:rsid w:val="15BC4035"/>
    <w:rsid w:val="15C33ED5"/>
    <w:rsid w:val="15E05662"/>
    <w:rsid w:val="15F64E85"/>
    <w:rsid w:val="160550C9"/>
    <w:rsid w:val="160F08DF"/>
    <w:rsid w:val="1615355E"/>
    <w:rsid w:val="162605E4"/>
    <w:rsid w:val="16473933"/>
    <w:rsid w:val="164E4CC1"/>
    <w:rsid w:val="166521AC"/>
    <w:rsid w:val="166C5F35"/>
    <w:rsid w:val="16970CA9"/>
    <w:rsid w:val="16AC5558"/>
    <w:rsid w:val="16C76BDA"/>
    <w:rsid w:val="16CB00C0"/>
    <w:rsid w:val="16CB6A64"/>
    <w:rsid w:val="16CF5E02"/>
    <w:rsid w:val="16E30B31"/>
    <w:rsid w:val="16F72C63"/>
    <w:rsid w:val="16FA09A5"/>
    <w:rsid w:val="170B0B62"/>
    <w:rsid w:val="171D1C21"/>
    <w:rsid w:val="173C4B1A"/>
    <w:rsid w:val="174E544F"/>
    <w:rsid w:val="17914E66"/>
    <w:rsid w:val="17B212C8"/>
    <w:rsid w:val="17BA0860"/>
    <w:rsid w:val="17C57205"/>
    <w:rsid w:val="17C7342C"/>
    <w:rsid w:val="17DC76E8"/>
    <w:rsid w:val="17DE3E23"/>
    <w:rsid w:val="17E111F6"/>
    <w:rsid w:val="17E458DD"/>
    <w:rsid w:val="1813400F"/>
    <w:rsid w:val="184B14B9"/>
    <w:rsid w:val="18690A6B"/>
    <w:rsid w:val="1872464D"/>
    <w:rsid w:val="18745314"/>
    <w:rsid w:val="188D751D"/>
    <w:rsid w:val="188F1A4B"/>
    <w:rsid w:val="18B20FCE"/>
    <w:rsid w:val="18BB3140"/>
    <w:rsid w:val="18C64D24"/>
    <w:rsid w:val="18CB43A7"/>
    <w:rsid w:val="18E216F1"/>
    <w:rsid w:val="18F558C8"/>
    <w:rsid w:val="18FE477D"/>
    <w:rsid w:val="19030013"/>
    <w:rsid w:val="191C7400"/>
    <w:rsid w:val="194D74B2"/>
    <w:rsid w:val="195715A3"/>
    <w:rsid w:val="19882298"/>
    <w:rsid w:val="199724DC"/>
    <w:rsid w:val="19BF413C"/>
    <w:rsid w:val="19EF40C6"/>
    <w:rsid w:val="1A140219"/>
    <w:rsid w:val="1A147FD0"/>
    <w:rsid w:val="1A5907D2"/>
    <w:rsid w:val="1A5F166A"/>
    <w:rsid w:val="1A606D71"/>
    <w:rsid w:val="1A7F18ED"/>
    <w:rsid w:val="1A8C697D"/>
    <w:rsid w:val="1AAE3F81"/>
    <w:rsid w:val="1AC12C8C"/>
    <w:rsid w:val="1AC76058"/>
    <w:rsid w:val="1AF916A0"/>
    <w:rsid w:val="1B155DAE"/>
    <w:rsid w:val="1B4F12C0"/>
    <w:rsid w:val="1B763A45"/>
    <w:rsid w:val="1B7900EB"/>
    <w:rsid w:val="1B9F2C40"/>
    <w:rsid w:val="1BAF7FB0"/>
    <w:rsid w:val="1BB35CDF"/>
    <w:rsid w:val="1BDE0896"/>
    <w:rsid w:val="1BF0493A"/>
    <w:rsid w:val="1C004A47"/>
    <w:rsid w:val="1C0B07A6"/>
    <w:rsid w:val="1C1C4F1A"/>
    <w:rsid w:val="1C294ACB"/>
    <w:rsid w:val="1C3E5A1F"/>
    <w:rsid w:val="1C4C57FF"/>
    <w:rsid w:val="1C4F3541"/>
    <w:rsid w:val="1C662D65"/>
    <w:rsid w:val="1C7573D9"/>
    <w:rsid w:val="1C7A236C"/>
    <w:rsid w:val="1C8474D8"/>
    <w:rsid w:val="1CB13310"/>
    <w:rsid w:val="1CC979D3"/>
    <w:rsid w:val="1CD777BF"/>
    <w:rsid w:val="1CDC4DD5"/>
    <w:rsid w:val="1CE011BF"/>
    <w:rsid w:val="1CEE613C"/>
    <w:rsid w:val="1CFA0420"/>
    <w:rsid w:val="1D1D719C"/>
    <w:rsid w:val="1D1D7575"/>
    <w:rsid w:val="1D532BBD"/>
    <w:rsid w:val="1D604375"/>
    <w:rsid w:val="1DA578BD"/>
    <w:rsid w:val="1DAD35B6"/>
    <w:rsid w:val="1DB16111"/>
    <w:rsid w:val="1E0068A1"/>
    <w:rsid w:val="1E0A3384"/>
    <w:rsid w:val="1E1D38F7"/>
    <w:rsid w:val="1E46140E"/>
    <w:rsid w:val="1E4A3FC0"/>
    <w:rsid w:val="1E676920"/>
    <w:rsid w:val="1E9640D5"/>
    <w:rsid w:val="1EAC7F7A"/>
    <w:rsid w:val="1ECE699F"/>
    <w:rsid w:val="1F016D75"/>
    <w:rsid w:val="1F06438B"/>
    <w:rsid w:val="1F215001"/>
    <w:rsid w:val="1F4A26C0"/>
    <w:rsid w:val="1F582F19"/>
    <w:rsid w:val="1FD67160"/>
    <w:rsid w:val="1FE741BD"/>
    <w:rsid w:val="1FED5F05"/>
    <w:rsid w:val="20173F0C"/>
    <w:rsid w:val="20191E9C"/>
    <w:rsid w:val="20796DDF"/>
    <w:rsid w:val="207D067D"/>
    <w:rsid w:val="20A7394C"/>
    <w:rsid w:val="20B0742B"/>
    <w:rsid w:val="20B07673"/>
    <w:rsid w:val="20D65FDF"/>
    <w:rsid w:val="20E73FDC"/>
    <w:rsid w:val="20E95D13"/>
    <w:rsid w:val="21112E5D"/>
    <w:rsid w:val="21153DC5"/>
    <w:rsid w:val="2122506F"/>
    <w:rsid w:val="213B5E42"/>
    <w:rsid w:val="21515666"/>
    <w:rsid w:val="21535882"/>
    <w:rsid w:val="215947D8"/>
    <w:rsid w:val="215A276C"/>
    <w:rsid w:val="218912A4"/>
    <w:rsid w:val="21A83D12"/>
    <w:rsid w:val="21BC429F"/>
    <w:rsid w:val="21D54581"/>
    <w:rsid w:val="21F63227"/>
    <w:rsid w:val="22226997"/>
    <w:rsid w:val="22352B64"/>
    <w:rsid w:val="22464D50"/>
    <w:rsid w:val="228C06EB"/>
    <w:rsid w:val="228C4409"/>
    <w:rsid w:val="22D71F89"/>
    <w:rsid w:val="22D868D3"/>
    <w:rsid w:val="22EE5862"/>
    <w:rsid w:val="230865AC"/>
    <w:rsid w:val="231150AD"/>
    <w:rsid w:val="23675344"/>
    <w:rsid w:val="236E6FF8"/>
    <w:rsid w:val="23850189"/>
    <w:rsid w:val="23BE6B4B"/>
    <w:rsid w:val="23D60ACB"/>
    <w:rsid w:val="23F46EA8"/>
    <w:rsid w:val="24007AC0"/>
    <w:rsid w:val="244D65E7"/>
    <w:rsid w:val="24575689"/>
    <w:rsid w:val="245E2574"/>
    <w:rsid w:val="24877D1C"/>
    <w:rsid w:val="24992DAF"/>
    <w:rsid w:val="2506571D"/>
    <w:rsid w:val="252C028A"/>
    <w:rsid w:val="255045B2"/>
    <w:rsid w:val="25787665"/>
    <w:rsid w:val="25950217"/>
    <w:rsid w:val="259D70CC"/>
    <w:rsid w:val="25BB0AAA"/>
    <w:rsid w:val="25CE6CA7"/>
    <w:rsid w:val="25E74730"/>
    <w:rsid w:val="26061115"/>
    <w:rsid w:val="260E10FE"/>
    <w:rsid w:val="26261652"/>
    <w:rsid w:val="264810FF"/>
    <w:rsid w:val="26C540E2"/>
    <w:rsid w:val="26C62652"/>
    <w:rsid w:val="26D21EAD"/>
    <w:rsid w:val="26EF7DFB"/>
    <w:rsid w:val="270F12F9"/>
    <w:rsid w:val="271D59D0"/>
    <w:rsid w:val="27286E69"/>
    <w:rsid w:val="272D0F38"/>
    <w:rsid w:val="2760611B"/>
    <w:rsid w:val="27C11484"/>
    <w:rsid w:val="27D8088F"/>
    <w:rsid w:val="27FA5FF7"/>
    <w:rsid w:val="2826784C"/>
    <w:rsid w:val="282E191D"/>
    <w:rsid w:val="28393256"/>
    <w:rsid w:val="283C698F"/>
    <w:rsid w:val="28416434"/>
    <w:rsid w:val="284657F9"/>
    <w:rsid w:val="28520641"/>
    <w:rsid w:val="287E1436"/>
    <w:rsid w:val="28A6518C"/>
    <w:rsid w:val="28C01A4F"/>
    <w:rsid w:val="28C96CBB"/>
    <w:rsid w:val="28E43737"/>
    <w:rsid w:val="28EA2628"/>
    <w:rsid w:val="28FB2A87"/>
    <w:rsid w:val="291453F2"/>
    <w:rsid w:val="295771C4"/>
    <w:rsid w:val="29614AE4"/>
    <w:rsid w:val="29712A36"/>
    <w:rsid w:val="2973086F"/>
    <w:rsid w:val="29AC6A1D"/>
    <w:rsid w:val="29B03871"/>
    <w:rsid w:val="29CB2141"/>
    <w:rsid w:val="29FA2D3E"/>
    <w:rsid w:val="29FF4B88"/>
    <w:rsid w:val="2A0B547C"/>
    <w:rsid w:val="2A0C024B"/>
    <w:rsid w:val="2A1D4C7F"/>
    <w:rsid w:val="2A1E28C6"/>
    <w:rsid w:val="2A2C6C70"/>
    <w:rsid w:val="2A6C2367"/>
    <w:rsid w:val="2A862824"/>
    <w:rsid w:val="2AC624D6"/>
    <w:rsid w:val="2AF15A7A"/>
    <w:rsid w:val="2B0426A5"/>
    <w:rsid w:val="2B116592"/>
    <w:rsid w:val="2B141BDE"/>
    <w:rsid w:val="2B180563"/>
    <w:rsid w:val="2B4B6F96"/>
    <w:rsid w:val="2B62401D"/>
    <w:rsid w:val="2B813779"/>
    <w:rsid w:val="2B8F21F0"/>
    <w:rsid w:val="2B942D1F"/>
    <w:rsid w:val="2BB02D46"/>
    <w:rsid w:val="2BB90F47"/>
    <w:rsid w:val="2BB97D84"/>
    <w:rsid w:val="2BCE0689"/>
    <w:rsid w:val="2BD15D21"/>
    <w:rsid w:val="2BE03161"/>
    <w:rsid w:val="2BE05F64"/>
    <w:rsid w:val="2BF35C97"/>
    <w:rsid w:val="2C016606"/>
    <w:rsid w:val="2C063C1D"/>
    <w:rsid w:val="2C0B2F55"/>
    <w:rsid w:val="2C1005F7"/>
    <w:rsid w:val="2C2E2107"/>
    <w:rsid w:val="2C384B42"/>
    <w:rsid w:val="2C6018A8"/>
    <w:rsid w:val="2C73502A"/>
    <w:rsid w:val="2C737F26"/>
    <w:rsid w:val="2CA94D64"/>
    <w:rsid w:val="2CB01DDA"/>
    <w:rsid w:val="2CC969F8"/>
    <w:rsid w:val="2CE87E3E"/>
    <w:rsid w:val="2CF12C21"/>
    <w:rsid w:val="2CF96FB4"/>
    <w:rsid w:val="2D061C45"/>
    <w:rsid w:val="2D241F75"/>
    <w:rsid w:val="2D26209C"/>
    <w:rsid w:val="2D330463"/>
    <w:rsid w:val="2D366C89"/>
    <w:rsid w:val="2D483AF4"/>
    <w:rsid w:val="2D711922"/>
    <w:rsid w:val="2D995F29"/>
    <w:rsid w:val="2D9C02BF"/>
    <w:rsid w:val="2D9F1767"/>
    <w:rsid w:val="2DC05B9A"/>
    <w:rsid w:val="2DC0604D"/>
    <w:rsid w:val="2DC1251E"/>
    <w:rsid w:val="2DCC629E"/>
    <w:rsid w:val="2DD6761F"/>
    <w:rsid w:val="2E112405"/>
    <w:rsid w:val="2E1E4D06"/>
    <w:rsid w:val="2E9E25BD"/>
    <w:rsid w:val="2EAE2349"/>
    <w:rsid w:val="2EC5717E"/>
    <w:rsid w:val="2EF07656"/>
    <w:rsid w:val="2F0E4E31"/>
    <w:rsid w:val="2F236894"/>
    <w:rsid w:val="2F246BF9"/>
    <w:rsid w:val="2F285C58"/>
    <w:rsid w:val="2F566C69"/>
    <w:rsid w:val="2F6046B5"/>
    <w:rsid w:val="2F642EBB"/>
    <w:rsid w:val="2F9C74F7"/>
    <w:rsid w:val="2FA86D99"/>
    <w:rsid w:val="2FBB4D1E"/>
    <w:rsid w:val="2FE80256"/>
    <w:rsid w:val="2FFA3A98"/>
    <w:rsid w:val="2FFD0189"/>
    <w:rsid w:val="300C557A"/>
    <w:rsid w:val="302A5A00"/>
    <w:rsid w:val="303348B4"/>
    <w:rsid w:val="303705CB"/>
    <w:rsid w:val="30433499"/>
    <w:rsid w:val="304C3BC8"/>
    <w:rsid w:val="307849BD"/>
    <w:rsid w:val="307D0225"/>
    <w:rsid w:val="3089665D"/>
    <w:rsid w:val="30AC0D80"/>
    <w:rsid w:val="30B71989"/>
    <w:rsid w:val="30DA7426"/>
    <w:rsid w:val="30ED7159"/>
    <w:rsid w:val="30F71D86"/>
    <w:rsid w:val="30FA5FEE"/>
    <w:rsid w:val="30FF5EFC"/>
    <w:rsid w:val="31050127"/>
    <w:rsid w:val="31283ADD"/>
    <w:rsid w:val="313E192D"/>
    <w:rsid w:val="31413001"/>
    <w:rsid w:val="3192385D"/>
    <w:rsid w:val="31AA6DF8"/>
    <w:rsid w:val="31CA6FEB"/>
    <w:rsid w:val="31E17E6B"/>
    <w:rsid w:val="31EB11BF"/>
    <w:rsid w:val="31EE2735"/>
    <w:rsid w:val="31F36F75"/>
    <w:rsid w:val="31F91B2E"/>
    <w:rsid w:val="320329AC"/>
    <w:rsid w:val="320A370E"/>
    <w:rsid w:val="320F0AA4"/>
    <w:rsid w:val="322112BA"/>
    <w:rsid w:val="325E6763"/>
    <w:rsid w:val="32990C1B"/>
    <w:rsid w:val="32C24F9D"/>
    <w:rsid w:val="32C35957"/>
    <w:rsid w:val="32FA0324"/>
    <w:rsid w:val="33134E71"/>
    <w:rsid w:val="33242A7F"/>
    <w:rsid w:val="334E5A9F"/>
    <w:rsid w:val="337A0A4C"/>
    <w:rsid w:val="3381639C"/>
    <w:rsid w:val="33835B53"/>
    <w:rsid w:val="33A43D3B"/>
    <w:rsid w:val="33B331B5"/>
    <w:rsid w:val="33BB3FC3"/>
    <w:rsid w:val="33D50520"/>
    <w:rsid w:val="33E32377"/>
    <w:rsid w:val="33EF143A"/>
    <w:rsid w:val="34060532"/>
    <w:rsid w:val="341B5A49"/>
    <w:rsid w:val="342514E8"/>
    <w:rsid w:val="35064C8D"/>
    <w:rsid w:val="35694D08"/>
    <w:rsid w:val="3589141A"/>
    <w:rsid w:val="35B205C3"/>
    <w:rsid w:val="35B36598"/>
    <w:rsid w:val="35C67F79"/>
    <w:rsid w:val="35D46F87"/>
    <w:rsid w:val="35DA1C76"/>
    <w:rsid w:val="35DC0741"/>
    <w:rsid w:val="35E860CC"/>
    <w:rsid w:val="363219AB"/>
    <w:rsid w:val="364E6A9B"/>
    <w:rsid w:val="36533F02"/>
    <w:rsid w:val="36572D3F"/>
    <w:rsid w:val="365D08DD"/>
    <w:rsid w:val="3660217B"/>
    <w:rsid w:val="36634B09"/>
    <w:rsid w:val="36637357"/>
    <w:rsid w:val="36767BF1"/>
    <w:rsid w:val="369167D9"/>
    <w:rsid w:val="369C3F7E"/>
    <w:rsid w:val="36BE0654"/>
    <w:rsid w:val="36C46BAE"/>
    <w:rsid w:val="370945C1"/>
    <w:rsid w:val="37384DC5"/>
    <w:rsid w:val="3752696B"/>
    <w:rsid w:val="37597553"/>
    <w:rsid w:val="376965A9"/>
    <w:rsid w:val="37833A11"/>
    <w:rsid w:val="37851194"/>
    <w:rsid w:val="37894DEF"/>
    <w:rsid w:val="378C0D4E"/>
    <w:rsid w:val="37976071"/>
    <w:rsid w:val="37A97B52"/>
    <w:rsid w:val="37B87D95"/>
    <w:rsid w:val="37C77810"/>
    <w:rsid w:val="37E81288"/>
    <w:rsid w:val="380F690B"/>
    <w:rsid w:val="3812164A"/>
    <w:rsid w:val="381A63F5"/>
    <w:rsid w:val="3826627C"/>
    <w:rsid w:val="38396895"/>
    <w:rsid w:val="386A72E1"/>
    <w:rsid w:val="388C054E"/>
    <w:rsid w:val="388E0998"/>
    <w:rsid w:val="38C033A5"/>
    <w:rsid w:val="390154AF"/>
    <w:rsid w:val="39073ED2"/>
    <w:rsid w:val="39093876"/>
    <w:rsid w:val="391758F5"/>
    <w:rsid w:val="392C4597"/>
    <w:rsid w:val="394915ED"/>
    <w:rsid w:val="39513FFD"/>
    <w:rsid w:val="3953201A"/>
    <w:rsid w:val="397F214F"/>
    <w:rsid w:val="39810D86"/>
    <w:rsid w:val="39B7228B"/>
    <w:rsid w:val="3A142705"/>
    <w:rsid w:val="3A1B7675"/>
    <w:rsid w:val="3A301E36"/>
    <w:rsid w:val="3A3302E2"/>
    <w:rsid w:val="3A4A1178"/>
    <w:rsid w:val="3A541787"/>
    <w:rsid w:val="3A6209E7"/>
    <w:rsid w:val="3AAA452C"/>
    <w:rsid w:val="3AD2116E"/>
    <w:rsid w:val="3AE0561C"/>
    <w:rsid w:val="3AFB06C4"/>
    <w:rsid w:val="3B11613A"/>
    <w:rsid w:val="3B153A8E"/>
    <w:rsid w:val="3B36136A"/>
    <w:rsid w:val="3B43343F"/>
    <w:rsid w:val="3B660234"/>
    <w:rsid w:val="3B6E1810"/>
    <w:rsid w:val="3B702E61"/>
    <w:rsid w:val="3B762441"/>
    <w:rsid w:val="3B9823B7"/>
    <w:rsid w:val="3BB276B2"/>
    <w:rsid w:val="3BC1546A"/>
    <w:rsid w:val="3BD1381F"/>
    <w:rsid w:val="3BDC4BF4"/>
    <w:rsid w:val="3BE06C7E"/>
    <w:rsid w:val="3BE253E0"/>
    <w:rsid w:val="3BFA4E20"/>
    <w:rsid w:val="3C1A101E"/>
    <w:rsid w:val="3C314ADE"/>
    <w:rsid w:val="3C4D4F50"/>
    <w:rsid w:val="3C4E7CED"/>
    <w:rsid w:val="3C601127"/>
    <w:rsid w:val="3C613C0E"/>
    <w:rsid w:val="3C856F2B"/>
    <w:rsid w:val="3CEA09F1"/>
    <w:rsid w:val="3CEB6988"/>
    <w:rsid w:val="3CEC7805"/>
    <w:rsid w:val="3D4A6ED2"/>
    <w:rsid w:val="3D612090"/>
    <w:rsid w:val="3D807B1A"/>
    <w:rsid w:val="3D931088"/>
    <w:rsid w:val="3D9848F1"/>
    <w:rsid w:val="3D9A2417"/>
    <w:rsid w:val="3D9B618F"/>
    <w:rsid w:val="3DC0664E"/>
    <w:rsid w:val="3DC079A3"/>
    <w:rsid w:val="3DE1436E"/>
    <w:rsid w:val="3DE90CA8"/>
    <w:rsid w:val="3DEA4545"/>
    <w:rsid w:val="3DEB23F1"/>
    <w:rsid w:val="3DEC1BA3"/>
    <w:rsid w:val="3E012496"/>
    <w:rsid w:val="3E057E5C"/>
    <w:rsid w:val="3E0870F1"/>
    <w:rsid w:val="3E2B12C1"/>
    <w:rsid w:val="3E573E64"/>
    <w:rsid w:val="3E6E56EE"/>
    <w:rsid w:val="3E6F7B87"/>
    <w:rsid w:val="3E8E7DEC"/>
    <w:rsid w:val="3E916FCA"/>
    <w:rsid w:val="3E937510"/>
    <w:rsid w:val="3EA30D21"/>
    <w:rsid w:val="3EA37367"/>
    <w:rsid w:val="3EE03F1C"/>
    <w:rsid w:val="3EE84604"/>
    <w:rsid w:val="3EFE4C27"/>
    <w:rsid w:val="3F044850"/>
    <w:rsid w:val="3F223B34"/>
    <w:rsid w:val="3F2F1E2C"/>
    <w:rsid w:val="3F3142F6"/>
    <w:rsid w:val="3F327BFC"/>
    <w:rsid w:val="3F3C12AC"/>
    <w:rsid w:val="3F4F1C13"/>
    <w:rsid w:val="3F547054"/>
    <w:rsid w:val="3F6F78D3"/>
    <w:rsid w:val="3F71532A"/>
    <w:rsid w:val="3F737426"/>
    <w:rsid w:val="3F775B93"/>
    <w:rsid w:val="3F8D5C9F"/>
    <w:rsid w:val="3FB928FC"/>
    <w:rsid w:val="4001677D"/>
    <w:rsid w:val="40086045"/>
    <w:rsid w:val="402828F4"/>
    <w:rsid w:val="40430557"/>
    <w:rsid w:val="405A5E8D"/>
    <w:rsid w:val="4061225A"/>
    <w:rsid w:val="40A9536C"/>
    <w:rsid w:val="40CB1356"/>
    <w:rsid w:val="40CE503D"/>
    <w:rsid w:val="40DA6FCE"/>
    <w:rsid w:val="41001EB1"/>
    <w:rsid w:val="41365B3D"/>
    <w:rsid w:val="41511846"/>
    <w:rsid w:val="416C170D"/>
    <w:rsid w:val="4172527C"/>
    <w:rsid w:val="418C02C8"/>
    <w:rsid w:val="419B675D"/>
    <w:rsid w:val="41A05B22"/>
    <w:rsid w:val="41A5138A"/>
    <w:rsid w:val="41B14053"/>
    <w:rsid w:val="41B85EB6"/>
    <w:rsid w:val="41EF2605"/>
    <w:rsid w:val="42312C1E"/>
    <w:rsid w:val="423B584A"/>
    <w:rsid w:val="42531754"/>
    <w:rsid w:val="42750D64"/>
    <w:rsid w:val="42A96B18"/>
    <w:rsid w:val="42BD2703"/>
    <w:rsid w:val="42D23768"/>
    <w:rsid w:val="42D53D7E"/>
    <w:rsid w:val="42E5074D"/>
    <w:rsid w:val="43164FEF"/>
    <w:rsid w:val="432E070E"/>
    <w:rsid w:val="434626F9"/>
    <w:rsid w:val="43566DE0"/>
    <w:rsid w:val="436A16A6"/>
    <w:rsid w:val="43785ED1"/>
    <w:rsid w:val="437F530D"/>
    <w:rsid w:val="438A12F4"/>
    <w:rsid w:val="43BE2B29"/>
    <w:rsid w:val="43CF45BC"/>
    <w:rsid w:val="43D321DE"/>
    <w:rsid w:val="43F403A7"/>
    <w:rsid w:val="44055CF9"/>
    <w:rsid w:val="44120BB1"/>
    <w:rsid w:val="444829E0"/>
    <w:rsid w:val="445B5DD8"/>
    <w:rsid w:val="44623562"/>
    <w:rsid w:val="44655E14"/>
    <w:rsid w:val="4467501D"/>
    <w:rsid w:val="449A0F4E"/>
    <w:rsid w:val="449F5DD3"/>
    <w:rsid w:val="44DC42BA"/>
    <w:rsid w:val="44ED2FD3"/>
    <w:rsid w:val="44ED5522"/>
    <w:rsid w:val="44F67147"/>
    <w:rsid w:val="4509503D"/>
    <w:rsid w:val="45326895"/>
    <w:rsid w:val="45446354"/>
    <w:rsid w:val="455F7AA2"/>
    <w:rsid w:val="45644F92"/>
    <w:rsid w:val="458F0387"/>
    <w:rsid w:val="464E1FF0"/>
    <w:rsid w:val="46607F75"/>
    <w:rsid w:val="46730342"/>
    <w:rsid w:val="467414CE"/>
    <w:rsid w:val="46824E5A"/>
    <w:rsid w:val="46D973C9"/>
    <w:rsid w:val="46EF6F8D"/>
    <w:rsid w:val="47046B53"/>
    <w:rsid w:val="470E1780"/>
    <w:rsid w:val="47356E70"/>
    <w:rsid w:val="479C7DAA"/>
    <w:rsid w:val="47B16162"/>
    <w:rsid w:val="47DC362C"/>
    <w:rsid w:val="47EB37C9"/>
    <w:rsid w:val="480C40F9"/>
    <w:rsid w:val="481E1B94"/>
    <w:rsid w:val="482753AB"/>
    <w:rsid w:val="482F7BFF"/>
    <w:rsid w:val="48461DA8"/>
    <w:rsid w:val="48482A6F"/>
    <w:rsid w:val="48592243"/>
    <w:rsid w:val="48592ECE"/>
    <w:rsid w:val="485D0ECC"/>
    <w:rsid w:val="48677399"/>
    <w:rsid w:val="486907AD"/>
    <w:rsid w:val="48741AB6"/>
    <w:rsid w:val="488100CD"/>
    <w:rsid w:val="489857A5"/>
    <w:rsid w:val="489D2DBB"/>
    <w:rsid w:val="48C04CFB"/>
    <w:rsid w:val="48C7550C"/>
    <w:rsid w:val="48F13107"/>
    <w:rsid w:val="49064A23"/>
    <w:rsid w:val="490B241B"/>
    <w:rsid w:val="491C0184"/>
    <w:rsid w:val="492B175F"/>
    <w:rsid w:val="493D08D6"/>
    <w:rsid w:val="49543DC1"/>
    <w:rsid w:val="49773DAE"/>
    <w:rsid w:val="497D6228"/>
    <w:rsid w:val="49AE00AE"/>
    <w:rsid w:val="49B605D8"/>
    <w:rsid w:val="49BC2509"/>
    <w:rsid w:val="49F25388"/>
    <w:rsid w:val="49F770B6"/>
    <w:rsid w:val="4A02381D"/>
    <w:rsid w:val="4A225C6E"/>
    <w:rsid w:val="4A280C46"/>
    <w:rsid w:val="4A3C09D0"/>
    <w:rsid w:val="4A5144F5"/>
    <w:rsid w:val="4A832F04"/>
    <w:rsid w:val="4A9F72BE"/>
    <w:rsid w:val="4AF13892"/>
    <w:rsid w:val="4AF762F7"/>
    <w:rsid w:val="4B022911"/>
    <w:rsid w:val="4B0C73E6"/>
    <w:rsid w:val="4B33219C"/>
    <w:rsid w:val="4B3F45FD"/>
    <w:rsid w:val="4B693428"/>
    <w:rsid w:val="4B6A1E13"/>
    <w:rsid w:val="4BAF37F7"/>
    <w:rsid w:val="4BB40B47"/>
    <w:rsid w:val="4BC52D55"/>
    <w:rsid w:val="4BCD169B"/>
    <w:rsid w:val="4BD9235C"/>
    <w:rsid w:val="4BE70EF5"/>
    <w:rsid w:val="4BF76C86"/>
    <w:rsid w:val="4C0D05F7"/>
    <w:rsid w:val="4C253ED6"/>
    <w:rsid w:val="4C405C18"/>
    <w:rsid w:val="4C505F95"/>
    <w:rsid w:val="4C6940F1"/>
    <w:rsid w:val="4C785E03"/>
    <w:rsid w:val="4C8E208B"/>
    <w:rsid w:val="4CA30709"/>
    <w:rsid w:val="4CCD5AED"/>
    <w:rsid w:val="4CD34FFD"/>
    <w:rsid w:val="4CDF1BF4"/>
    <w:rsid w:val="4CE459C5"/>
    <w:rsid w:val="4CFF2296"/>
    <w:rsid w:val="4D072EF9"/>
    <w:rsid w:val="4D337862"/>
    <w:rsid w:val="4D4D1254"/>
    <w:rsid w:val="4D722A68"/>
    <w:rsid w:val="4D925B1F"/>
    <w:rsid w:val="4D9D6B08"/>
    <w:rsid w:val="4DAB5F7A"/>
    <w:rsid w:val="4DB937C7"/>
    <w:rsid w:val="4DC82688"/>
    <w:rsid w:val="4DDC2416"/>
    <w:rsid w:val="4E131ACC"/>
    <w:rsid w:val="4E7445BE"/>
    <w:rsid w:val="4E9407BC"/>
    <w:rsid w:val="4E9A3978"/>
    <w:rsid w:val="4E9D1D67"/>
    <w:rsid w:val="4EAB356F"/>
    <w:rsid w:val="4EB57961"/>
    <w:rsid w:val="4EC13F43"/>
    <w:rsid w:val="4ECF13C9"/>
    <w:rsid w:val="4ED8534D"/>
    <w:rsid w:val="4F100246"/>
    <w:rsid w:val="4F3A21CB"/>
    <w:rsid w:val="4F3B63E4"/>
    <w:rsid w:val="4F3D0E54"/>
    <w:rsid w:val="4F400944"/>
    <w:rsid w:val="4F4072EC"/>
    <w:rsid w:val="4F5023DA"/>
    <w:rsid w:val="4F5519E2"/>
    <w:rsid w:val="4F724648"/>
    <w:rsid w:val="4F9F47EA"/>
    <w:rsid w:val="4FFC2ABD"/>
    <w:rsid w:val="50083210"/>
    <w:rsid w:val="501446FD"/>
    <w:rsid w:val="502838B2"/>
    <w:rsid w:val="5033485E"/>
    <w:rsid w:val="504306EC"/>
    <w:rsid w:val="50441BF3"/>
    <w:rsid w:val="50631D4D"/>
    <w:rsid w:val="50720FD1"/>
    <w:rsid w:val="50760AC1"/>
    <w:rsid w:val="508807F5"/>
    <w:rsid w:val="50920ED6"/>
    <w:rsid w:val="50AD3DB7"/>
    <w:rsid w:val="50BB2978"/>
    <w:rsid w:val="50BE6DE5"/>
    <w:rsid w:val="51071719"/>
    <w:rsid w:val="51190299"/>
    <w:rsid w:val="511F6F5C"/>
    <w:rsid w:val="51217A74"/>
    <w:rsid w:val="51237AAF"/>
    <w:rsid w:val="51354F21"/>
    <w:rsid w:val="51450494"/>
    <w:rsid w:val="51857589"/>
    <w:rsid w:val="51C615D4"/>
    <w:rsid w:val="51EB103B"/>
    <w:rsid w:val="520B5239"/>
    <w:rsid w:val="52102850"/>
    <w:rsid w:val="52171194"/>
    <w:rsid w:val="521A2D60"/>
    <w:rsid w:val="52240AA0"/>
    <w:rsid w:val="52494C00"/>
    <w:rsid w:val="52904DEF"/>
    <w:rsid w:val="52911BE2"/>
    <w:rsid w:val="52F1442F"/>
    <w:rsid w:val="53155E76"/>
    <w:rsid w:val="53492B23"/>
    <w:rsid w:val="534C78B7"/>
    <w:rsid w:val="539F192F"/>
    <w:rsid w:val="53B01CF2"/>
    <w:rsid w:val="541A0123"/>
    <w:rsid w:val="5463135D"/>
    <w:rsid w:val="54640C31"/>
    <w:rsid w:val="54790B80"/>
    <w:rsid w:val="548D63DA"/>
    <w:rsid w:val="54A379AB"/>
    <w:rsid w:val="54D66671"/>
    <w:rsid w:val="54D933CD"/>
    <w:rsid w:val="54EF2BF0"/>
    <w:rsid w:val="550A4368"/>
    <w:rsid w:val="55355BDF"/>
    <w:rsid w:val="553F41FA"/>
    <w:rsid w:val="555313D1"/>
    <w:rsid w:val="55823A64"/>
    <w:rsid w:val="55EE2161"/>
    <w:rsid w:val="561E0534"/>
    <w:rsid w:val="562A41F7"/>
    <w:rsid w:val="565D1DDC"/>
    <w:rsid w:val="567B1C1A"/>
    <w:rsid w:val="568E6439"/>
    <w:rsid w:val="56C667BE"/>
    <w:rsid w:val="56D976B4"/>
    <w:rsid w:val="56DB5BC3"/>
    <w:rsid w:val="56F24B88"/>
    <w:rsid w:val="56F73A0D"/>
    <w:rsid w:val="56FE00DA"/>
    <w:rsid w:val="571132F2"/>
    <w:rsid w:val="571164F6"/>
    <w:rsid w:val="571679F1"/>
    <w:rsid w:val="571A713B"/>
    <w:rsid w:val="571D6CF2"/>
    <w:rsid w:val="574B7E86"/>
    <w:rsid w:val="57565351"/>
    <w:rsid w:val="575B4C3B"/>
    <w:rsid w:val="576553EC"/>
    <w:rsid w:val="57811AFA"/>
    <w:rsid w:val="57835872"/>
    <w:rsid w:val="57845D25"/>
    <w:rsid w:val="57A852D8"/>
    <w:rsid w:val="57BA40CB"/>
    <w:rsid w:val="57DF519E"/>
    <w:rsid w:val="580544D9"/>
    <w:rsid w:val="58123253"/>
    <w:rsid w:val="58675193"/>
    <w:rsid w:val="588303AC"/>
    <w:rsid w:val="588B4C8B"/>
    <w:rsid w:val="58A261CC"/>
    <w:rsid w:val="58E54CC3"/>
    <w:rsid w:val="590D1127"/>
    <w:rsid w:val="590F5E8A"/>
    <w:rsid w:val="59396B30"/>
    <w:rsid w:val="59480B21"/>
    <w:rsid w:val="595D13D8"/>
    <w:rsid w:val="59771406"/>
    <w:rsid w:val="598C3104"/>
    <w:rsid w:val="59A2301C"/>
    <w:rsid w:val="59B51489"/>
    <w:rsid w:val="59D61B39"/>
    <w:rsid w:val="59D85DF8"/>
    <w:rsid w:val="59E06C63"/>
    <w:rsid w:val="5A2279A0"/>
    <w:rsid w:val="5A282BA3"/>
    <w:rsid w:val="5A292701"/>
    <w:rsid w:val="5A2E1B19"/>
    <w:rsid w:val="5A2F3A8F"/>
    <w:rsid w:val="5A3E3CD2"/>
    <w:rsid w:val="5A8A2B8D"/>
    <w:rsid w:val="5AD703AE"/>
    <w:rsid w:val="5ADA1C4D"/>
    <w:rsid w:val="5ADF3707"/>
    <w:rsid w:val="5AF0321E"/>
    <w:rsid w:val="5AF7771D"/>
    <w:rsid w:val="5AFE1DDF"/>
    <w:rsid w:val="5B033869"/>
    <w:rsid w:val="5B1E0E25"/>
    <w:rsid w:val="5B774531"/>
    <w:rsid w:val="5BAD110F"/>
    <w:rsid w:val="5BD26DC8"/>
    <w:rsid w:val="5C433822"/>
    <w:rsid w:val="5C462241"/>
    <w:rsid w:val="5C4868CC"/>
    <w:rsid w:val="5C974299"/>
    <w:rsid w:val="5CB169DD"/>
    <w:rsid w:val="5CB26CD5"/>
    <w:rsid w:val="5CB828E2"/>
    <w:rsid w:val="5CFF3299"/>
    <w:rsid w:val="5D0E3E30"/>
    <w:rsid w:val="5D616655"/>
    <w:rsid w:val="5D621401"/>
    <w:rsid w:val="5D6B7EBD"/>
    <w:rsid w:val="5D722610"/>
    <w:rsid w:val="5DCA7D57"/>
    <w:rsid w:val="5DE27796"/>
    <w:rsid w:val="5DE352BC"/>
    <w:rsid w:val="5DE4727B"/>
    <w:rsid w:val="5DF247AE"/>
    <w:rsid w:val="5E5166CA"/>
    <w:rsid w:val="5E714676"/>
    <w:rsid w:val="5E9860A7"/>
    <w:rsid w:val="5E9D7136"/>
    <w:rsid w:val="5EAC3900"/>
    <w:rsid w:val="5EB266CD"/>
    <w:rsid w:val="5EB427B5"/>
    <w:rsid w:val="5EB872A8"/>
    <w:rsid w:val="5EC549C2"/>
    <w:rsid w:val="5EEC63F2"/>
    <w:rsid w:val="5F3538F6"/>
    <w:rsid w:val="5F5928DB"/>
    <w:rsid w:val="5F6D4899"/>
    <w:rsid w:val="5F771D87"/>
    <w:rsid w:val="5F7A13D9"/>
    <w:rsid w:val="5F930AF8"/>
    <w:rsid w:val="5FA840C8"/>
    <w:rsid w:val="5FC15189"/>
    <w:rsid w:val="5FC80BD7"/>
    <w:rsid w:val="5FD411DB"/>
    <w:rsid w:val="600A4D82"/>
    <w:rsid w:val="600F2399"/>
    <w:rsid w:val="602816AC"/>
    <w:rsid w:val="60794FF2"/>
    <w:rsid w:val="607A1B92"/>
    <w:rsid w:val="60936B26"/>
    <w:rsid w:val="60AA20C1"/>
    <w:rsid w:val="60AF1486"/>
    <w:rsid w:val="60B6293A"/>
    <w:rsid w:val="60D630E7"/>
    <w:rsid w:val="60DD7536"/>
    <w:rsid w:val="60E46F03"/>
    <w:rsid w:val="61220E83"/>
    <w:rsid w:val="61300818"/>
    <w:rsid w:val="6131633F"/>
    <w:rsid w:val="613A45BD"/>
    <w:rsid w:val="61512DC3"/>
    <w:rsid w:val="61572249"/>
    <w:rsid w:val="617D3332"/>
    <w:rsid w:val="61AF635B"/>
    <w:rsid w:val="61C92272"/>
    <w:rsid w:val="61D70C94"/>
    <w:rsid w:val="61DB5A7C"/>
    <w:rsid w:val="61ED495B"/>
    <w:rsid w:val="623616DF"/>
    <w:rsid w:val="62407431"/>
    <w:rsid w:val="62450C5C"/>
    <w:rsid w:val="626B78E0"/>
    <w:rsid w:val="62743409"/>
    <w:rsid w:val="6280757E"/>
    <w:rsid w:val="62882B1C"/>
    <w:rsid w:val="628E03BF"/>
    <w:rsid w:val="62A0552A"/>
    <w:rsid w:val="62E80B16"/>
    <w:rsid w:val="62F835B8"/>
    <w:rsid w:val="630F26B0"/>
    <w:rsid w:val="630F506C"/>
    <w:rsid w:val="63144C61"/>
    <w:rsid w:val="63273E9D"/>
    <w:rsid w:val="63424833"/>
    <w:rsid w:val="634379A6"/>
    <w:rsid w:val="637C7D45"/>
    <w:rsid w:val="637F7680"/>
    <w:rsid w:val="63A80222"/>
    <w:rsid w:val="63AB23D8"/>
    <w:rsid w:val="63AC3405"/>
    <w:rsid w:val="63B70D7D"/>
    <w:rsid w:val="63C57AD8"/>
    <w:rsid w:val="63DC0629"/>
    <w:rsid w:val="63FB4D53"/>
    <w:rsid w:val="640A735C"/>
    <w:rsid w:val="643E1DDB"/>
    <w:rsid w:val="644C3818"/>
    <w:rsid w:val="646B538C"/>
    <w:rsid w:val="647D600E"/>
    <w:rsid w:val="64B82FFF"/>
    <w:rsid w:val="64DC3A26"/>
    <w:rsid w:val="64DF6129"/>
    <w:rsid w:val="64E20E23"/>
    <w:rsid w:val="64F14763"/>
    <w:rsid w:val="64F222AF"/>
    <w:rsid w:val="651C3508"/>
    <w:rsid w:val="652C50A4"/>
    <w:rsid w:val="652E7A0E"/>
    <w:rsid w:val="65312DB1"/>
    <w:rsid w:val="653E102A"/>
    <w:rsid w:val="653F54CE"/>
    <w:rsid w:val="65875F01"/>
    <w:rsid w:val="6588405D"/>
    <w:rsid w:val="65AE016F"/>
    <w:rsid w:val="65D86BEF"/>
    <w:rsid w:val="660202AA"/>
    <w:rsid w:val="66090676"/>
    <w:rsid w:val="661C7ED9"/>
    <w:rsid w:val="664072C6"/>
    <w:rsid w:val="665925BF"/>
    <w:rsid w:val="669E5544"/>
    <w:rsid w:val="66AA6977"/>
    <w:rsid w:val="66B34B97"/>
    <w:rsid w:val="66BC0BE7"/>
    <w:rsid w:val="66CC0FE3"/>
    <w:rsid w:val="66CC2D91"/>
    <w:rsid w:val="66D37220"/>
    <w:rsid w:val="66FD5574"/>
    <w:rsid w:val="66FE4C4B"/>
    <w:rsid w:val="67241546"/>
    <w:rsid w:val="67317098"/>
    <w:rsid w:val="67363981"/>
    <w:rsid w:val="674535A5"/>
    <w:rsid w:val="6764746E"/>
    <w:rsid w:val="67B37AAD"/>
    <w:rsid w:val="67E450A9"/>
    <w:rsid w:val="68091DC3"/>
    <w:rsid w:val="68212C69"/>
    <w:rsid w:val="68214B88"/>
    <w:rsid w:val="68224C33"/>
    <w:rsid w:val="685272C6"/>
    <w:rsid w:val="689B3FAD"/>
    <w:rsid w:val="68C55CEA"/>
    <w:rsid w:val="68D036B7"/>
    <w:rsid w:val="6906356D"/>
    <w:rsid w:val="69270753"/>
    <w:rsid w:val="692F053C"/>
    <w:rsid w:val="69430BDA"/>
    <w:rsid w:val="69473047"/>
    <w:rsid w:val="694A3E5D"/>
    <w:rsid w:val="69A262CD"/>
    <w:rsid w:val="69A41DA4"/>
    <w:rsid w:val="69B76692"/>
    <w:rsid w:val="69C17F22"/>
    <w:rsid w:val="69C34EFD"/>
    <w:rsid w:val="6A191710"/>
    <w:rsid w:val="6A5A10B5"/>
    <w:rsid w:val="6A6908F7"/>
    <w:rsid w:val="6ABC50DC"/>
    <w:rsid w:val="6AC23D01"/>
    <w:rsid w:val="6AD803A3"/>
    <w:rsid w:val="6AEF34F2"/>
    <w:rsid w:val="6AF74155"/>
    <w:rsid w:val="6AFD58BD"/>
    <w:rsid w:val="6B0C3C5A"/>
    <w:rsid w:val="6B0D4FFE"/>
    <w:rsid w:val="6B221C24"/>
    <w:rsid w:val="6B5B46E4"/>
    <w:rsid w:val="6B667A77"/>
    <w:rsid w:val="6B774D46"/>
    <w:rsid w:val="6B87372B"/>
    <w:rsid w:val="6B95391D"/>
    <w:rsid w:val="6BB107A8"/>
    <w:rsid w:val="6BD91AAD"/>
    <w:rsid w:val="6C1E7B69"/>
    <w:rsid w:val="6C6F1EA4"/>
    <w:rsid w:val="6C8B2DA7"/>
    <w:rsid w:val="6CA6400E"/>
    <w:rsid w:val="6CB57E24"/>
    <w:rsid w:val="6CCC3665"/>
    <w:rsid w:val="6D214429"/>
    <w:rsid w:val="6D324605"/>
    <w:rsid w:val="6D433682"/>
    <w:rsid w:val="6D627B71"/>
    <w:rsid w:val="6D716441"/>
    <w:rsid w:val="6D910891"/>
    <w:rsid w:val="6DB34AC8"/>
    <w:rsid w:val="6DC01C88"/>
    <w:rsid w:val="6E070B53"/>
    <w:rsid w:val="6E2E7ECC"/>
    <w:rsid w:val="6E3206D6"/>
    <w:rsid w:val="6E5642A5"/>
    <w:rsid w:val="6E602011"/>
    <w:rsid w:val="6E6243E1"/>
    <w:rsid w:val="6E95110E"/>
    <w:rsid w:val="6EB72579"/>
    <w:rsid w:val="6EC735FE"/>
    <w:rsid w:val="6ECA348F"/>
    <w:rsid w:val="6EF47329"/>
    <w:rsid w:val="6EF70BC7"/>
    <w:rsid w:val="6EF74724"/>
    <w:rsid w:val="6EFF42EB"/>
    <w:rsid w:val="6F203A84"/>
    <w:rsid w:val="6F2E3EBD"/>
    <w:rsid w:val="6F5558EE"/>
    <w:rsid w:val="6F5B1156"/>
    <w:rsid w:val="6F743FC6"/>
    <w:rsid w:val="6F751AEC"/>
    <w:rsid w:val="6F7F4719"/>
    <w:rsid w:val="6F832989"/>
    <w:rsid w:val="6F8A37EA"/>
    <w:rsid w:val="6F8A4B2B"/>
    <w:rsid w:val="6F8B0B99"/>
    <w:rsid w:val="6FA11970"/>
    <w:rsid w:val="6FB95E7D"/>
    <w:rsid w:val="6FC33ACF"/>
    <w:rsid w:val="6FCF56A0"/>
    <w:rsid w:val="6FD418AD"/>
    <w:rsid w:val="703B09BB"/>
    <w:rsid w:val="705A4C09"/>
    <w:rsid w:val="70617EC8"/>
    <w:rsid w:val="707A20B1"/>
    <w:rsid w:val="707E0282"/>
    <w:rsid w:val="70812E3F"/>
    <w:rsid w:val="708F4524"/>
    <w:rsid w:val="70991D7A"/>
    <w:rsid w:val="70E248CD"/>
    <w:rsid w:val="70F52EE5"/>
    <w:rsid w:val="710B095A"/>
    <w:rsid w:val="712156AB"/>
    <w:rsid w:val="71285068"/>
    <w:rsid w:val="7161307A"/>
    <w:rsid w:val="716342F2"/>
    <w:rsid w:val="71681909"/>
    <w:rsid w:val="717D1BBD"/>
    <w:rsid w:val="7185070D"/>
    <w:rsid w:val="71B11502"/>
    <w:rsid w:val="71B22914"/>
    <w:rsid w:val="71D5345C"/>
    <w:rsid w:val="71E73175"/>
    <w:rsid w:val="71E97F48"/>
    <w:rsid w:val="72473C14"/>
    <w:rsid w:val="72750CA3"/>
    <w:rsid w:val="728409C4"/>
    <w:rsid w:val="72943314"/>
    <w:rsid w:val="7295792B"/>
    <w:rsid w:val="72A961B1"/>
    <w:rsid w:val="72C12EE0"/>
    <w:rsid w:val="72CE6C35"/>
    <w:rsid w:val="72F826A1"/>
    <w:rsid w:val="73010267"/>
    <w:rsid w:val="732F4EF7"/>
    <w:rsid w:val="734B3E2F"/>
    <w:rsid w:val="73522870"/>
    <w:rsid w:val="73696D7E"/>
    <w:rsid w:val="737C169B"/>
    <w:rsid w:val="737E7D7B"/>
    <w:rsid w:val="739015EB"/>
    <w:rsid w:val="73AA445A"/>
    <w:rsid w:val="73AF1221"/>
    <w:rsid w:val="73CC1F06"/>
    <w:rsid w:val="73D96AEE"/>
    <w:rsid w:val="73DA4614"/>
    <w:rsid w:val="73EA0CFB"/>
    <w:rsid w:val="74040D09"/>
    <w:rsid w:val="745F66ED"/>
    <w:rsid w:val="74826A17"/>
    <w:rsid w:val="74C07CAE"/>
    <w:rsid w:val="74E514C2"/>
    <w:rsid w:val="74E90725"/>
    <w:rsid w:val="74F00593"/>
    <w:rsid w:val="74F30675"/>
    <w:rsid w:val="74F51705"/>
    <w:rsid w:val="750078FB"/>
    <w:rsid w:val="75071439"/>
    <w:rsid w:val="75175B20"/>
    <w:rsid w:val="751C3E82"/>
    <w:rsid w:val="752635D2"/>
    <w:rsid w:val="752B5127"/>
    <w:rsid w:val="752F3287"/>
    <w:rsid w:val="7534591D"/>
    <w:rsid w:val="753C3B04"/>
    <w:rsid w:val="75790588"/>
    <w:rsid w:val="757B54AB"/>
    <w:rsid w:val="758331B5"/>
    <w:rsid w:val="759772D7"/>
    <w:rsid w:val="75BE243F"/>
    <w:rsid w:val="75C335B1"/>
    <w:rsid w:val="75C34064"/>
    <w:rsid w:val="75E02830"/>
    <w:rsid w:val="760746A1"/>
    <w:rsid w:val="761958C7"/>
    <w:rsid w:val="762640F9"/>
    <w:rsid w:val="767679C0"/>
    <w:rsid w:val="7682346D"/>
    <w:rsid w:val="768B79A1"/>
    <w:rsid w:val="76CB4EF4"/>
    <w:rsid w:val="76D55916"/>
    <w:rsid w:val="76F61765"/>
    <w:rsid w:val="772A140E"/>
    <w:rsid w:val="775D7F99"/>
    <w:rsid w:val="777D1E86"/>
    <w:rsid w:val="77935205"/>
    <w:rsid w:val="77940F04"/>
    <w:rsid w:val="779B7915"/>
    <w:rsid w:val="77F14573"/>
    <w:rsid w:val="77FF289B"/>
    <w:rsid w:val="78101336"/>
    <w:rsid w:val="781A0349"/>
    <w:rsid w:val="7827085A"/>
    <w:rsid w:val="7855323B"/>
    <w:rsid w:val="78A25FC3"/>
    <w:rsid w:val="78A70F68"/>
    <w:rsid w:val="78A74E1C"/>
    <w:rsid w:val="78AC2A23"/>
    <w:rsid w:val="78B33A12"/>
    <w:rsid w:val="78B410C1"/>
    <w:rsid w:val="78CC4217"/>
    <w:rsid w:val="78F14974"/>
    <w:rsid w:val="7917715F"/>
    <w:rsid w:val="795C4A93"/>
    <w:rsid w:val="797057FE"/>
    <w:rsid w:val="79A60B66"/>
    <w:rsid w:val="79AD76D8"/>
    <w:rsid w:val="79C142AC"/>
    <w:rsid w:val="79D73ACF"/>
    <w:rsid w:val="79DA66F5"/>
    <w:rsid w:val="79E35140"/>
    <w:rsid w:val="7A066163"/>
    <w:rsid w:val="7A1F5BDD"/>
    <w:rsid w:val="7A230AC3"/>
    <w:rsid w:val="7A2D7B93"/>
    <w:rsid w:val="7A3743B5"/>
    <w:rsid w:val="7A4131B6"/>
    <w:rsid w:val="7A55402C"/>
    <w:rsid w:val="7A756769"/>
    <w:rsid w:val="7A791842"/>
    <w:rsid w:val="7A7E1F85"/>
    <w:rsid w:val="7A9521FB"/>
    <w:rsid w:val="7A980753"/>
    <w:rsid w:val="7AA5597C"/>
    <w:rsid w:val="7ACE4ED2"/>
    <w:rsid w:val="7AE04C06"/>
    <w:rsid w:val="7AE75F94"/>
    <w:rsid w:val="7AEA5A84"/>
    <w:rsid w:val="7AF95CC7"/>
    <w:rsid w:val="7B474C85"/>
    <w:rsid w:val="7B4A4AE8"/>
    <w:rsid w:val="7B512E8E"/>
    <w:rsid w:val="7B711D02"/>
    <w:rsid w:val="7B713AB0"/>
    <w:rsid w:val="7B7703D1"/>
    <w:rsid w:val="7B95105C"/>
    <w:rsid w:val="7BBA5457"/>
    <w:rsid w:val="7BE95A94"/>
    <w:rsid w:val="7BF5648F"/>
    <w:rsid w:val="7BFF3890"/>
    <w:rsid w:val="7C272341"/>
    <w:rsid w:val="7C5E5DE2"/>
    <w:rsid w:val="7C63164A"/>
    <w:rsid w:val="7C8204B4"/>
    <w:rsid w:val="7CBD2C36"/>
    <w:rsid w:val="7CD3115D"/>
    <w:rsid w:val="7CFB1883"/>
    <w:rsid w:val="7CFBD1B6"/>
    <w:rsid w:val="7D1444F3"/>
    <w:rsid w:val="7D412A8D"/>
    <w:rsid w:val="7D576338"/>
    <w:rsid w:val="7D580E3B"/>
    <w:rsid w:val="7D58558B"/>
    <w:rsid w:val="7D731D61"/>
    <w:rsid w:val="7D9F4904"/>
    <w:rsid w:val="7DA22646"/>
    <w:rsid w:val="7DA95783"/>
    <w:rsid w:val="7DAE4B47"/>
    <w:rsid w:val="7DD86068"/>
    <w:rsid w:val="7DE71E07"/>
    <w:rsid w:val="7DF52673"/>
    <w:rsid w:val="7E453AB3"/>
    <w:rsid w:val="7E4E5490"/>
    <w:rsid w:val="7E524281"/>
    <w:rsid w:val="7E7E5E60"/>
    <w:rsid w:val="7E924469"/>
    <w:rsid w:val="7EB119B6"/>
    <w:rsid w:val="7EC55276"/>
    <w:rsid w:val="7EC565EC"/>
    <w:rsid w:val="7EC81C39"/>
    <w:rsid w:val="7EFF7B93"/>
    <w:rsid w:val="7F086780"/>
    <w:rsid w:val="7F477001"/>
    <w:rsid w:val="7F5B0B7E"/>
    <w:rsid w:val="7F8C2C66"/>
    <w:rsid w:val="7F9703BE"/>
    <w:rsid w:val="7FAA5E00"/>
    <w:rsid w:val="7FB977D3"/>
    <w:rsid w:val="7FBC6124"/>
    <w:rsid w:val="7FBE4DEA"/>
    <w:rsid w:val="DFDA3238"/>
    <w:rsid w:val="FBEFC1C6"/>
    <w:rsid w:val="FFD7E5B6"/>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99"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等线" w:hAnsi="等线" w:eastAsia="等线" w:cs="Times New Roman"/>
      <w:kern w:val="2"/>
      <w:sz w:val="21"/>
      <w:szCs w:val="22"/>
      <w:lang w:val="en-US" w:eastAsia="zh-CN" w:bidi="ar-SA"/>
    </w:rPr>
  </w:style>
  <w:style w:type="paragraph" w:styleId="2">
    <w:name w:val="heading 1"/>
    <w:basedOn w:val="1"/>
    <w:next w:val="1"/>
    <w:autoRedefine/>
    <w:qFormat/>
    <w:uiPriority w:val="0"/>
    <w:pPr>
      <w:keepNext/>
      <w:tabs>
        <w:tab w:val="left" w:pos="3360"/>
      </w:tabs>
      <w:snapToGrid w:val="0"/>
      <w:spacing w:before="312" w:beforeLines="100" w:after="156" w:afterLines="50" w:line="800" w:lineRule="atLeast"/>
      <w:jc w:val="center"/>
      <w:outlineLvl w:val="0"/>
    </w:pPr>
    <w:rPr>
      <w:rFonts w:eastAsia="黑体"/>
      <w:sz w:val="44"/>
    </w:rPr>
  </w:style>
  <w:style w:type="paragraph" w:styleId="3">
    <w:name w:val="heading 2"/>
    <w:basedOn w:val="1"/>
    <w:next w:val="1"/>
    <w:link w:val="41"/>
    <w:autoRedefine/>
    <w:qFormat/>
    <w:uiPriority w:val="0"/>
    <w:pPr>
      <w:keepNext/>
      <w:keepLines/>
      <w:adjustRightInd w:val="0"/>
      <w:snapToGrid w:val="0"/>
      <w:spacing w:line="360" w:lineRule="auto"/>
      <w:outlineLvl w:val="1"/>
    </w:pPr>
    <w:rPr>
      <w:rFonts w:ascii="宋体" w:hAnsi="宋体"/>
    </w:rPr>
  </w:style>
  <w:style w:type="paragraph" w:styleId="4">
    <w:name w:val="heading 3"/>
    <w:basedOn w:val="1"/>
    <w:next w:val="1"/>
    <w:link w:val="42"/>
    <w:autoRedefine/>
    <w:qFormat/>
    <w:uiPriority w:val="0"/>
    <w:pPr>
      <w:keepNext/>
      <w:keepLines/>
      <w:spacing w:before="260" w:after="260" w:line="413" w:lineRule="auto"/>
      <w:jc w:val="center"/>
      <w:outlineLvl w:val="2"/>
    </w:pPr>
    <w:rPr>
      <w:b/>
      <w:sz w:val="44"/>
    </w:rPr>
  </w:style>
  <w:style w:type="paragraph" w:styleId="5">
    <w:name w:val="heading 4"/>
    <w:basedOn w:val="1"/>
    <w:next w:val="1"/>
    <w:qFormat/>
    <w:uiPriority w:val="0"/>
    <w:pPr>
      <w:keepNext/>
      <w:keepLines/>
      <w:spacing w:before="280" w:after="290" w:line="372" w:lineRule="auto"/>
      <w:outlineLvl w:val="3"/>
    </w:pPr>
    <w:rPr>
      <w:rFonts w:ascii="Arial" w:hAnsi="Arial" w:eastAsia="黑体"/>
      <w:b/>
    </w:rPr>
  </w:style>
  <w:style w:type="character" w:default="1" w:styleId="26">
    <w:name w:val="Default Paragraph Font"/>
    <w:autoRedefine/>
    <w:semiHidden/>
    <w:unhideWhenUsed/>
    <w:qFormat/>
    <w:uiPriority w:val="1"/>
  </w:style>
  <w:style w:type="table" w:default="1" w:styleId="24">
    <w:name w:val="Normal Table"/>
    <w:semiHidden/>
    <w:unhideWhenUsed/>
    <w:qFormat/>
    <w:uiPriority w:val="99"/>
    <w:tblPr>
      <w:tblCellMar>
        <w:top w:w="0" w:type="dxa"/>
        <w:left w:w="108" w:type="dxa"/>
        <w:bottom w:w="0" w:type="dxa"/>
        <w:right w:w="108" w:type="dxa"/>
      </w:tblCellMar>
    </w:tblPr>
  </w:style>
  <w:style w:type="paragraph" w:styleId="6">
    <w:name w:val="Normal Indent"/>
    <w:basedOn w:val="1"/>
    <w:qFormat/>
    <w:uiPriority w:val="0"/>
    <w:pPr>
      <w:adjustRightInd w:val="0"/>
      <w:snapToGrid w:val="0"/>
      <w:spacing w:line="360" w:lineRule="auto"/>
      <w:ind w:firstLine="420"/>
    </w:pPr>
    <w:rPr>
      <w:sz w:val="24"/>
    </w:rPr>
  </w:style>
  <w:style w:type="paragraph" w:styleId="7">
    <w:name w:val="toa heading"/>
    <w:basedOn w:val="1"/>
    <w:next w:val="1"/>
    <w:autoRedefine/>
    <w:qFormat/>
    <w:uiPriority w:val="0"/>
    <w:pPr>
      <w:spacing w:before="120"/>
    </w:pPr>
    <w:rPr>
      <w:rFonts w:ascii="Arial" w:hAnsi="Arial"/>
      <w:sz w:val="24"/>
    </w:rPr>
  </w:style>
  <w:style w:type="paragraph" w:styleId="8">
    <w:name w:val="annotation text"/>
    <w:basedOn w:val="1"/>
    <w:link w:val="43"/>
    <w:autoRedefine/>
    <w:qFormat/>
    <w:uiPriority w:val="0"/>
    <w:pPr>
      <w:jc w:val="left"/>
    </w:pPr>
  </w:style>
  <w:style w:type="paragraph" w:styleId="9">
    <w:name w:val="Body Text"/>
    <w:basedOn w:val="1"/>
    <w:next w:val="10"/>
    <w:autoRedefine/>
    <w:qFormat/>
    <w:uiPriority w:val="0"/>
  </w:style>
  <w:style w:type="paragraph" w:styleId="10">
    <w:name w:val="Quote"/>
    <w:basedOn w:val="1"/>
    <w:next w:val="1"/>
    <w:qFormat/>
    <w:uiPriority w:val="0"/>
    <w:pPr>
      <w:wordWrap w:val="0"/>
      <w:spacing w:before="200" w:after="160"/>
      <w:ind w:left="864" w:right="864"/>
      <w:jc w:val="center"/>
    </w:pPr>
    <w:rPr>
      <w:rFonts w:ascii="Times New Roman" w:hAnsi="Times New Roman" w:eastAsia="宋体" w:cs="Times New Roman"/>
      <w:i/>
      <w:sz w:val="21"/>
      <w:lang w:val="en-US" w:eastAsia="zh-CN" w:bidi="ar-SA"/>
    </w:rPr>
  </w:style>
  <w:style w:type="paragraph" w:styleId="11">
    <w:name w:val="Body Text Indent"/>
    <w:basedOn w:val="1"/>
    <w:autoRedefine/>
    <w:qFormat/>
    <w:uiPriority w:val="0"/>
    <w:pPr>
      <w:spacing w:line="700" w:lineRule="exact"/>
      <w:ind w:left="960"/>
    </w:pPr>
    <w:rPr>
      <w:sz w:val="44"/>
    </w:rPr>
  </w:style>
  <w:style w:type="paragraph" w:styleId="12">
    <w:name w:val="Plain Text"/>
    <w:basedOn w:val="1"/>
    <w:qFormat/>
    <w:uiPriority w:val="0"/>
    <w:rPr>
      <w:rFonts w:hAnsi="Courier New"/>
      <w:kern w:val="0"/>
      <w:sz w:val="20"/>
      <w:szCs w:val="20"/>
    </w:rPr>
  </w:style>
  <w:style w:type="paragraph" w:styleId="13">
    <w:name w:val="Date"/>
    <w:basedOn w:val="1"/>
    <w:next w:val="1"/>
    <w:qFormat/>
    <w:uiPriority w:val="0"/>
  </w:style>
  <w:style w:type="paragraph" w:styleId="14">
    <w:name w:val="Body Text Indent 2"/>
    <w:basedOn w:val="1"/>
    <w:autoRedefine/>
    <w:qFormat/>
    <w:uiPriority w:val="99"/>
    <w:pPr>
      <w:snapToGrid w:val="0"/>
      <w:spacing w:line="560" w:lineRule="atLeast"/>
      <w:ind w:firstLine="540"/>
    </w:pPr>
  </w:style>
  <w:style w:type="paragraph" w:styleId="15">
    <w:name w:val="Balloon Text"/>
    <w:basedOn w:val="1"/>
    <w:qFormat/>
    <w:uiPriority w:val="0"/>
    <w:rPr>
      <w:sz w:val="18"/>
    </w:rPr>
  </w:style>
  <w:style w:type="paragraph" w:styleId="16">
    <w:name w:val="footer"/>
    <w:basedOn w:val="1"/>
    <w:autoRedefine/>
    <w:qFormat/>
    <w:uiPriority w:val="0"/>
    <w:pPr>
      <w:tabs>
        <w:tab w:val="center" w:pos="4153"/>
        <w:tab w:val="right" w:pos="8306"/>
      </w:tabs>
      <w:snapToGrid w:val="0"/>
      <w:jc w:val="left"/>
    </w:pPr>
    <w:rPr>
      <w:rFonts w:eastAsia="宋体"/>
      <w:sz w:val="18"/>
    </w:rPr>
  </w:style>
  <w:style w:type="paragraph" w:styleId="17">
    <w:name w:val="header"/>
    <w:basedOn w:val="1"/>
    <w:autoRedefine/>
    <w:qFormat/>
    <w:uiPriority w:val="0"/>
    <w:pPr>
      <w:pBdr>
        <w:bottom w:val="single" w:color="auto" w:sz="6" w:space="1"/>
      </w:pBdr>
      <w:tabs>
        <w:tab w:val="center" w:pos="4153"/>
        <w:tab w:val="right" w:pos="8306"/>
      </w:tabs>
      <w:snapToGrid w:val="0"/>
      <w:jc w:val="center"/>
    </w:pPr>
    <w:rPr>
      <w:rFonts w:eastAsia="宋体"/>
      <w:sz w:val="18"/>
    </w:rPr>
  </w:style>
  <w:style w:type="paragraph" w:styleId="18">
    <w:name w:val="toc 1"/>
    <w:basedOn w:val="1"/>
    <w:next w:val="1"/>
    <w:autoRedefine/>
    <w:qFormat/>
    <w:uiPriority w:val="39"/>
    <w:pPr>
      <w:tabs>
        <w:tab w:val="left" w:pos="1260"/>
        <w:tab w:val="left" w:pos="1685"/>
        <w:tab w:val="right" w:leader="dot" w:pos="8400"/>
      </w:tabs>
      <w:spacing w:line="320" w:lineRule="exact"/>
      <w:ind w:firstLine="280" w:firstLineChars="100"/>
    </w:pPr>
  </w:style>
  <w:style w:type="paragraph" w:styleId="19">
    <w:name w:val="toc 2"/>
    <w:basedOn w:val="1"/>
    <w:next w:val="1"/>
    <w:autoRedefine/>
    <w:qFormat/>
    <w:uiPriority w:val="39"/>
    <w:pPr>
      <w:tabs>
        <w:tab w:val="right" w:leader="dot" w:pos="8400"/>
      </w:tabs>
      <w:spacing w:line="440" w:lineRule="exact"/>
      <w:ind w:left="280" w:leftChars="100" w:right="-91" w:rightChars="-91"/>
    </w:pPr>
  </w:style>
  <w:style w:type="paragraph" w:styleId="20">
    <w:name w:val="Title"/>
    <w:basedOn w:val="1"/>
    <w:next w:val="1"/>
    <w:qFormat/>
    <w:uiPriority w:val="0"/>
    <w:pPr>
      <w:widowControl/>
      <w:spacing w:after="240" w:afterLines="0" w:afterAutospacing="0" w:line="360" w:lineRule="auto"/>
      <w:jc w:val="center"/>
    </w:pPr>
    <w:rPr>
      <w:rFonts w:ascii="Arial" w:hAnsi="Arial"/>
      <w:b/>
      <w:smallCaps/>
      <w:kern w:val="28"/>
      <w:sz w:val="36"/>
      <w:lang w:eastAsia="en-US"/>
    </w:rPr>
  </w:style>
  <w:style w:type="paragraph" w:styleId="21">
    <w:name w:val="annotation subject"/>
    <w:basedOn w:val="8"/>
    <w:next w:val="8"/>
    <w:link w:val="44"/>
    <w:autoRedefine/>
    <w:qFormat/>
    <w:uiPriority w:val="0"/>
    <w:rPr>
      <w:b/>
      <w:bCs/>
    </w:rPr>
  </w:style>
  <w:style w:type="paragraph" w:styleId="22">
    <w:name w:val="Body Text First Indent"/>
    <w:basedOn w:val="9"/>
    <w:next w:val="1"/>
    <w:autoRedefine/>
    <w:qFormat/>
    <w:uiPriority w:val="0"/>
    <w:pPr>
      <w:spacing w:line="360" w:lineRule="auto"/>
      <w:ind w:firstLine="420"/>
    </w:pPr>
    <w:rPr>
      <w:rFonts w:ascii="宋体" w:hAnsi="宋体"/>
      <w:sz w:val="24"/>
    </w:rPr>
  </w:style>
  <w:style w:type="paragraph" w:styleId="23">
    <w:name w:val="Body Text First Indent 2"/>
    <w:basedOn w:val="11"/>
    <w:next w:val="22"/>
    <w:autoRedefine/>
    <w:qFormat/>
    <w:uiPriority w:val="0"/>
    <w:pPr>
      <w:spacing w:line="240" w:lineRule="auto"/>
      <w:ind w:left="420" w:leftChars="200" w:firstLine="420" w:firstLineChars="200"/>
    </w:pPr>
    <w:rPr>
      <w:sz w:val="21"/>
    </w:rPr>
  </w:style>
  <w:style w:type="table" w:styleId="25">
    <w:name w:val="Table Grid"/>
    <w:basedOn w:val="24"/>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7">
    <w:name w:val="Strong"/>
    <w:basedOn w:val="26"/>
    <w:autoRedefine/>
    <w:qFormat/>
    <w:uiPriority w:val="0"/>
    <w:rPr>
      <w:b/>
      <w:bCs/>
    </w:rPr>
  </w:style>
  <w:style w:type="character" w:styleId="28">
    <w:name w:val="page number"/>
    <w:basedOn w:val="26"/>
    <w:autoRedefine/>
    <w:qFormat/>
    <w:uiPriority w:val="0"/>
  </w:style>
  <w:style w:type="character" w:styleId="29">
    <w:name w:val="FollowedHyperlink"/>
    <w:basedOn w:val="26"/>
    <w:autoRedefine/>
    <w:qFormat/>
    <w:uiPriority w:val="0"/>
    <w:rPr>
      <w:color w:val="000000"/>
      <w:u w:val="none"/>
    </w:rPr>
  </w:style>
  <w:style w:type="character" w:styleId="30">
    <w:name w:val="Emphasis"/>
    <w:basedOn w:val="26"/>
    <w:autoRedefine/>
    <w:qFormat/>
    <w:uiPriority w:val="0"/>
    <w:rPr>
      <w:i/>
      <w:iCs/>
    </w:rPr>
  </w:style>
  <w:style w:type="character" w:styleId="31">
    <w:name w:val="Hyperlink"/>
    <w:autoRedefine/>
    <w:qFormat/>
    <w:uiPriority w:val="99"/>
    <w:rPr>
      <w:color w:val="0000FF"/>
      <w:u w:val="single"/>
    </w:rPr>
  </w:style>
  <w:style w:type="character" w:styleId="32">
    <w:name w:val="HTML Code"/>
    <w:basedOn w:val="26"/>
    <w:autoRedefine/>
    <w:qFormat/>
    <w:uiPriority w:val="0"/>
    <w:rPr>
      <w:rFonts w:ascii="Consolas" w:hAnsi="Consolas" w:eastAsia="Consolas" w:cs="Consolas"/>
      <w:color w:val="DD1144"/>
      <w:sz w:val="12"/>
      <w:szCs w:val="12"/>
      <w:bdr w:val="single" w:color="E1E1E8" w:sz="4" w:space="0"/>
      <w:shd w:val="clear" w:fill="F7F7F9"/>
    </w:rPr>
  </w:style>
  <w:style w:type="character" w:styleId="33">
    <w:name w:val="annotation reference"/>
    <w:basedOn w:val="26"/>
    <w:autoRedefine/>
    <w:qFormat/>
    <w:uiPriority w:val="0"/>
    <w:rPr>
      <w:sz w:val="21"/>
      <w:szCs w:val="21"/>
    </w:rPr>
  </w:style>
  <w:style w:type="character" w:styleId="34">
    <w:name w:val="HTML Cite"/>
    <w:basedOn w:val="26"/>
    <w:autoRedefine/>
    <w:qFormat/>
    <w:uiPriority w:val="0"/>
  </w:style>
  <w:style w:type="paragraph" w:customStyle="1" w:styleId="35">
    <w:name w:val="样式 宋体 五号 行距: 单倍行距"/>
    <w:basedOn w:val="1"/>
    <w:autoRedefine/>
    <w:qFormat/>
    <w:uiPriority w:val="0"/>
    <w:pPr>
      <w:adjustRightInd w:val="0"/>
      <w:jc w:val="left"/>
    </w:pPr>
    <w:rPr>
      <w:rFonts w:ascii="宋体" w:hAnsi="宋体"/>
      <w:kern w:val="0"/>
      <w:sz w:val="21"/>
    </w:rPr>
  </w:style>
  <w:style w:type="paragraph" w:customStyle="1" w:styleId="36">
    <w:name w:val="无间隔1"/>
    <w:autoRedefine/>
    <w:qFormat/>
    <w:uiPriority w:val="1"/>
    <w:pPr>
      <w:jc w:val="both"/>
    </w:pPr>
    <w:rPr>
      <w:rFonts w:ascii="Times New Roman" w:hAnsi="Times New Roman" w:eastAsia="Times New Roman" w:cs="Times New Roman"/>
      <w:lang w:val="en-US" w:eastAsia="zh-CN" w:bidi="ar-SA"/>
    </w:rPr>
  </w:style>
  <w:style w:type="paragraph" w:customStyle="1" w:styleId="37">
    <w:name w:val="目录 53"/>
    <w:next w:val="1"/>
    <w:autoRedefine/>
    <w:qFormat/>
    <w:uiPriority w:val="0"/>
    <w:pPr>
      <w:wordWrap w:val="0"/>
      <w:ind w:left="1275"/>
      <w:jc w:val="both"/>
    </w:pPr>
    <w:rPr>
      <w:rFonts w:ascii="Calibri" w:hAnsi="Calibri" w:eastAsia="宋体" w:cs="Times New Roman"/>
      <w:sz w:val="21"/>
      <w:lang w:val="en-US" w:eastAsia="zh-CN" w:bidi="ar-SA"/>
    </w:rPr>
  </w:style>
  <w:style w:type="paragraph" w:customStyle="1" w:styleId="38">
    <w:name w:val="Default"/>
    <w:autoRedefine/>
    <w:qFormat/>
    <w:uiPriority w:val="0"/>
    <w:pPr>
      <w:widowControl w:val="0"/>
      <w:autoSpaceDE w:val="0"/>
      <w:autoSpaceDN w:val="0"/>
      <w:adjustRightInd w:val="0"/>
    </w:pPr>
    <w:rPr>
      <w:rFonts w:ascii="宋体" w:hAnsi="Times New Roman" w:eastAsia="宋体" w:cs="Times New Roman"/>
      <w:color w:val="000000"/>
      <w:sz w:val="24"/>
      <w:lang w:val="en-US" w:eastAsia="zh-CN" w:bidi="ar-SA"/>
    </w:rPr>
  </w:style>
  <w:style w:type="paragraph" w:customStyle="1" w:styleId="39">
    <w:name w:val="1"/>
    <w:basedOn w:val="1"/>
    <w:autoRedefine/>
    <w:qFormat/>
    <w:uiPriority w:val="0"/>
    <w:rPr>
      <w:rFonts w:ascii="Tahoma" w:hAnsi="Tahoma"/>
      <w:sz w:val="24"/>
    </w:rPr>
  </w:style>
  <w:style w:type="paragraph" w:customStyle="1" w:styleId="40">
    <w:name w:val="标书正文1"/>
    <w:basedOn w:val="1"/>
    <w:autoRedefine/>
    <w:qFormat/>
    <w:uiPriority w:val="0"/>
    <w:pPr>
      <w:spacing w:line="520" w:lineRule="exact"/>
      <w:ind w:firstLine="640" w:firstLineChars="200"/>
    </w:pPr>
  </w:style>
  <w:style w:type="character" w:customStyle="1" w:styleId="41">
    <w:name w:val="标题 2 字符"/>
    <w:link w:val="3"/>
    <w:autoRedefine/>
    <w:qFormat/>
    <w:uiPriority w:val="0"/>
    <w:rPr>
      <w:rFonts w:ascii="宋体" w:hAnsi="宋体"/>
    </w:rPr>
  </w:style>
  <w:style w:type="character" w:customStyle="1" w:styleId="42">
    <w:name w:val="标题 3 字符"/>
    <w:link w:val="4"/>
    <w:autoRedefine/>
    <w:qFormat/>
    <w:uiPriority w:val="0"/>
    <w:rPr>
      <w:b/>
      <w:sz w:val="44"/>
    </w:rPr>
  </w:style>
  <w:style w:type="character" w:customStyle="1" w:styleId="43">
    <w:name w:val="批注文字 字符"/>
    <w:basedOn w:val="26"/>
    <w:link w:val="8"/>
    <w:autoRedefine/>
    <w:qFormat/>
    <w:uiPriority w:val="0"/>
    <w:rPr>
      <w:rFonts w:ascii="等线" w:hAnsi="等线" w:eastAsia="等线"/>
      <w:kern w:val="2"/>
      <w:sz w:val="21"/>
      <w:szCs w:val="22"/>
    </w:rPr>
  </w:style>
  <w:style w:type="character" w:customStyle="1" w:styleId="44">
    <w:name w:val="批注主题 字符"/>
    <w:basedOn w:val="43"/>
    <w:link w:val="21"/>
    <w:autoRedefine/>
    <w:qFormat/>
    <w:uiPriority w:val="0"/>
    <w:rPr>
      <w:rFonts w:ascii="等线" w:hAnsi="等线" w:eastAsia="等线"/>
      <w:b/>
      <w:bCs/>
      <w:kern w:val="2"/>
      <w:sz w:val="21"/>
      <w:szCs w:val="22"/>
    </w:rPr>
  </w:style>
  <w:style w:type="paragraph" w:customStyle="1" w:styleId="45">
    <w:name w:val="p0"/>
    <w:basedOn w:val="1"/>
    <w:autoRedefine/>
    <w:qFormat/>
    <w:uiPriority w:val="0"/>
    <w:pPr>
      <w:widowControl/>
    </w:pPr>
    <w:rPr>
      <w:kern w:val="0"/>
      <w:sz w:val="20"/>
      <w:szCs w:val="21"/>
    </w:rPr>
  </w:style>
  <w:style w:type="paragraph" w:customStyle="1" w:styleId="46">
    <w:name w:val="图例"/>
    <w:basedOn w:val="1"/>
    <w:autoRedefine/>
    <w:qFormat/>
    <w:uiPriority w:val="99"/>
    <w:pPr>
      <w:spacing w:before="120" w:after="120" w:line="360" w:lineRule="auto"/>
      <w:jc w:val="center"/>
    </w:pPr>
    <w:rPr>
      <w:rFonts w:eastAsia="仿宋_GB2312"/>
      <w:b/>
      <w:sz w:val="24"/>
    </w:rPr>
  </w:style>
  <w:style w:type="paragraph" w:customStyle="1" w:styleId="47">
    <w:name w:val="Heading1"/>
    <w:basedOn w:val="1"/>
    <w:next w:val="1"/>
    <w:autoRedefine/>
    <w:qFormat/>
    <w:uiPriority w:val="0"/>
    <w:pPr>
      <w:keepNext/>
      <w:tabs>
        <w:tab w:val="left" w:pos="3360"/>
      </w:tabs>
      <w:snapToGrid w:val="0"/>
      <w:spacing w:before="312" w:after="156" w:line="800" w:lineRule="atLeast"/>
      <w:jc w:val="center"/>
      <w:textAlignment w:val="baseline"/>
    </w:pPr>
    <w:rPr>
      <w:rFonts w:eastAsia="黑体"/>
      <w:kern w:val="2"/>
      <w:sz w:val="44"/>
      <w:lang w:val="en-US" w:eastAsia="zh-CN" w:bidi="ar-SA"/>
    </w:rPr>
  </w:style>
  <w:style w:type="paragraph" w:customStyle="1" w:styleId="48">
    <w:name w:val="Table Text"/>
    <w:autoRedefine/>
    <w:qFormat/>
    <w:uiPriority w:val="0"/>
    <w:pPr>
      <w:snapToGrid w:val="0"/>
      <w:spacing w:before="80" w:after="80"/>
    </w:pPr>
    <w:rPr>
      <w:rFonts w:ascii="Arial" w:hAnsi="Arial" w:eastAsia="宋体" w:cs="Times New Roman"/>
      <w:kern w:val="2"/>
      <w:sz w:val="18"/>
      <w:lang w:val="en-US" w:eastAsia="zh-CN" w:bidi="ar-SA"/>
    </w:rPr>
  </w:style>
  <w:style w:type="paragraph" w:customStyle="1" w:styleId="49">
    <w:name w:val="正文1"/>
    <w:basedOn w:val="1"/>
    <w:next w:val="1"/>
    <w:autoRedefine/>
    <w:qFormat/>
    <w:uiPriority w:val="0"/>
    <w:pPr>
      <w:spacing w:line="300" w:lineRule="auto"/>
      <w:ind w:firstLine="200" w:firstLineChars="200"/>
    </w:pPr>
    <w:rPr>
      <w:sz w:val="24"/>
    </w:rPr>
  </w:style>
  <w:style w:type="character" w:customStyle="1" w:styleId="50">
    <w:name w:val="active7"/>
    <w:basedOn w:val="26"/>
    <w:autoRedefine/>
    <w:qFormat/>
    <w:uiPriority w:val="0"/>
    <w:rPr>
      <w:color w:val="FFFFFF"/>
      <w:shd w:val="clear" w:fill="E02F23"/>
    </w:rPr>
  </w:style>
  <w:style w:type="paragraph" w:customStyle="1" w:styleId="51">
    <w:name w:val="BodyText"/>
    <w:basedOn w:val="1"/>
    <w:autoRedefine/>
    <w:qFormat/>
    <w:uiPriority w:val="99"/>
    <w:pPr>
      <w:textAlignment w:val="baseline"/>
    </w:pPr>
    <w:rPr>
      <w:rFonts w:ascii="仿宋_GB2312" w:eastAsia="仿宋_GB2312"/>
      <w:sz w:val="32"/>
    </w:rPr>
  </w:style>
  <w:style w:type="character" w:customStyle="1" w:styleId="52">
    <w:name w:val="NormalCharacter"/>
    <w:autoRedefine/>
    <w:qFormat/>
    <w:uiPriority w:val="0"/>
  </w:style>
  <w:style w:type="paragraph" w:customStyle="1" w:styleId="53">
    <w:name w:val="xl40"/>
    <w:basedOn w:val="1"/>
    <w:autoRedefine/>
    <w:qFormat/>
    <w:uiPriority w:val="0"/>
    <w:pPr>
      <w:widowControl/>
      <w:pBdr>
        <w:left w:val="single" w:color="auto" w:sz="4" w:space="0"/>
        <w:right w:val="single" w:color="auto" w:sz="4" w:space="0"/>
      </w:pBdr>
      <w:spacing w:before="100" w:beforeLines="0" w:beforeAutospacing="1" w:after="100" w:afterLines="0" w:afterAutospacing="1"/>
      <w:jc w:val="center"/>
    </w:pPr>
    <w:rPr>
      <w:rFonts w:ascii="宋体" w:hAnsi="宋体"/>
      <w:kern w:val="0"/>
      <w:sz w:val="24"/>
    </w:rPr>
  </w:style>
  <w:style w:type="character" w:customStyle="1" w:styleId="54">
    <w:name w:val="active"/>
    <w:basedOn w:val="26"/>
    <w:autoRedefine/>
    <w:qFormat/>
    <w:uiPriority w:val="0"/>
    <w:rPr>
      <w:color w:val="FFFFFF"/>
      <w:shd w:val="clear" w:fill="E02F23"/>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2.png"/><Relationship Id="rId10" Type="http://schemas.openxmlformats.org/officeDocument/2006/relationships/theme" Target="theme/theme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40</Pages>
  <Words>3053</Words>
  <Characters>3313</Characters>
  <Lines>232</Lines>
  <Paragraphs>65</Paragraphs>
  <TotalTime>36</TotalTime>
  <ScaleCrop>false</ScaleCrop>
  <LinksUpToDate>false</LinksUpToDate>
  <CharactersWithSpaces>3607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2022-06-20T08:39:00Z</dcterms:created>
  <dc:creator>Administrator</dc:creator>
  <cp:lastModifiedBy>韦一</cp:lastModifiedBy>
  <cp:lastPrinted>2021-07-14T11:22:00Z</cp:lastPrinted>
  <dcterms:modified xsi:type="dcterms:W3CDTF">2026-09-23T01:32:49Z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E00D08ACC0814333AB2DB0D26D8CE918_13</vt:lpwstr>
  </property>
  <property fmtid="{D5CDD505-2E9C-101B-9397-08002B2CF9AE}" pid="4" name="KSOTemplateDocerSaveRecord">
    <vt:lpwstr>eyJoZGlkIjoiYjg2ODg4ODI0ZjczZjBkMWQyMjRjOWU4M2Q0MzZmODkiLCJ1c2VySWQiOiI2OTMwNTkyNDQifQ==</vt:lpwstr>
  </property>
</Properties>
</file>